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F7" w:rsidRDefault="00B32119">
      <w:pPr>
        <w:spacing w:after="6"/>
        <w:ind w:left="30"/>
      </w:pPr>
      <w:r>
        <w:rPr>
          <w:noProof/>
        </w:rPr>
        <w:drawing>
          <wp:anchor distT="0" distB="0" distL="114300" distR="114300" simplePos="0" relativeHeight="251660288" behindDoc="0" locked="0" layoutInCell="1" allowOverlap="1">
            <wp:simplePos x="0" y="0"/>
            <wp:positionH relativeFrom="column">
              <wp:posOffset>4300220</wp:posOffset>
            </wp:positionH>
            <wp:positionV relativeFrom="paragraph">
              <wp:posOffset>260985</wp:posOffset>
            </wp:positionV>
            <wp:extent cx="1143000" cy="762000"/>
            <wp:effectExtent l="0" t="0" r="0" b="0"/>
            <wp:wrapNone/>
            <wp:docPr id="2090" name="Picture 3" descr="C:\Users\Administrator\Desktop\pravni_logo_16-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Picture 3" descr="C:\Users\Administrator\Desktop\pravni_logo_16-03-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9264" behindDoc="1" locked="0" layoutInCell="1" allowOverlap="1">
            <wp:simplePos x="0" y="0"/>
            <wp:positionH relativeFrom="margin">
              <wp:posOffset>1546225</wp:posOffset>
            </wp:positionH>
            <wp:positionV relativeFrom="paragraph">
              <wp:posOffset>318135</wp:posOffset>
            </wp:positionV>
            <wp:extent cx="1095375" cy="647065"/>
            <wp:effectExtent l="0" t="0" r="9525" b="635"/>
            <wp:wrapThrough wrapText="bothSides">
              <wp:wrapPolygon edited="0">
                <wp:start x="0" y="0"/>
                <wp:lineTo x="0" y="20985"/>
                <wp:lineTo x="21412" y="20985"/>
                <wp:lineTo x="21412" y="0"/>
                <wp:lineTo x="0" y="0"/>
              </wp:wrapPolygon>
            </wp:wrapThrough>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8">
                      <a:extLst>
                        <a:ext uri="{28A0092B-C50C-407E-A947-70E740481C1C}">
                          <a14:useLocalDpi xmlns:a14="http://schemas.microsoft.com/office/drawing/2010/main" val="0"/>
                        </a:ext>
                      </a:extLst>
                    </a:blip>
                    <a:stretch>
                      <a:fillRect/>
                    </a:stretch>
                  </pic:blipFill>
                  <pic:spPr>
                    <a:xfrm>
                      <a:off x="0" y="0"/>
                      <a:ext cx="1095375" cy="647065"/>
                    </a:xfrm>
                    <a:prstGeom prst="rect">
                      <a:avLst/>
                    </a:prstGeom>
                  </pic:spPr>
                </pic:pic>
              </a:graphicData>
            </a:graphic>
          </wp:anchor>
        </w:drawing>
      </w:r>
      <w:r>
        <w:rPr>
          <w:noProof/>
        </w:rPr>
        <w:drawing>
          <wp:inline distT="0" distB="0" distL="0" distR="0" wp14:anchorId="1A4BF619" wp14:editId="27777689">
            <wp:extent cx="885825" cy="1161309"/>
            <wp:effectExtent l="0" t="0" r="635" b="1270"/>
            <wp:docPr id="409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161309"/>
                    </a:xfrm>
                    <a:prstGeom prst="rect">
                      <a:avLst/>
                    </a:prstGeom>
                    <a:noFill/>
                    <a:extLst/>
                  </pic:spPr>
                </pic:pic>
              </a:graphicData>
            </a:graphic>
          </wp:inline>
        </w:drawing>
      </w:r>
      <w:r w:rsidR="00910CB1">
        <w:t xml:space="preserve"> </w:t>
      </w:r>
      <w:r>
        <w:rPr>
          <w:noProof/>
        </w:rPr>
        <w:drawing>
          <wp:inline distT="0" distB="0" distL="0" distR="0" wp14:anchorId="74CB6924" wp14:editId="3A8D89FB">
            <wp:extent cx="1094105" cy="128460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0"/>
                    <a:stretch>
                      <a:fillRect/>
                    </a:stretch>
                  </pic:blipFill>
                  <pic:spPr>
                    <a:xfrm>
                      <a:off x="0" y="0"/>
                      <a:ext cx="1094105" cy="1284605"/>
                    </a:xfrm>
                    <a:prstGeom prst="rect">
                      <a:avLst/>
                    </a:prstGeom>
                  </pic:spPr>
                </pic:pic>
              </a:graphicData>
            </a:graphic>
          </wp:inline>
        </w:drawing>
      </w:r>
    </w:p>
    <w:p w:rsidR="00B32119" w:rsidRDefault="00B32119">
      <w:pPr>
        <w:spacing w:after="98"/>
        <w:ind w:left="656"/>
        <w:jc w:val="center"/>
        <w:rPr>
          <w:b/>
          <w:sz w:val="44"/>
        </w:rPr>
      </w:pPr>
    </w:p>
    <w:p w:rsidR="00B32119" w:rsidRDefault="00877903" w:rsidP="00877903">
      <w:pPr>
        <w:spacing w:after="98"/>
        <w:ind w:left="656"/>
        <w:jc w:val="center"/>
        <w:rPr>
          <w:b/>
          <w:sz w:val="44"/>
        </w:rPr>
      </w:pPr>
      <w:r>
        <w:rPr>
          <w:b/>
          <w:sz w:val="44"/>
        </w:rPr>
        <w:t>__</w:t>
      </w:r>
      <w:r w:rsidR="005A63EE">
        <w:rPr>
          <w:b/>
          <w:sz w:val="44"/>
        </w:rPr>
        <w:t>_____________________________</w:t>
      </w:r>
    </w:p>
    <w:p w:rsidR="00526FF7" w:rsidRPr="00E546D8" w:rsidRDefault="00E546D8" w:rsidP="00877903">
      <w:pPr>
        <w:spacing w:after="98"/>
        <w:ind w:left="656"/>
        <w:jc w:val="center"/>
        <w:rPr>
          <w:rFonts w:ascii="Garamond" w:hAnsi="Garamond"/>
          <w:b/>
        </w:rPr>
      </w:pPr>
      <w:r w:rsidRPr="00E546D8">
        <w:rPr>
          <w:rFonts w:ascii="Garamond" w:hAnsi="Garamond"/>
          <w:b/>
        </w:rPr>
        <w:t>Re: Report on the</w:t>
      </w:r>
      <w:r w:rsidR="00910CB1" w:rsidRPr="00E546D8">
        <w:rPr>
          <w:rFonts w:ascii="Garamond" w:hAnsi="Garamond"/>
          <w:b/>
          <w:i/>
        </w:rPr>
        <w:t xml:space="preserve"> </w:t>
      </w:r>
      <w:r w:rsidR="009163AB" w:rsidRPr="00E546D8">
        <w:rPr>
          <w:rFonts w:ascii="Garamond" w:hAnsi="Garamond"/>
          <w:b/>
        </w:rPr>
        <w:t xml:space="preserve">STUDY VISIT TO Faculty of Law UNIVERSITY OF </w:t>
      </w:r>
      <w:r w:rsidR="00C24D51" w:rsidRPr="00E546D8">
        <w:rPr>
          <w:rFonts w:ascii="Garamond" w:hAnsi="Garamond"/>
          <w:b/>
        </w:rPr>
        <w:t>Z</w:t>
      </w:r>
      <w:r w:rsidR="009163AB" w:rsidRPr="00E546D8">
        <w:rPr>
          <w:rFonts w:ascii="Garamond" w:hAnsi="Garamond"/>
          <w:b/>
        </w:rPr>
        <w:t>AGREB</w:t>
      </w:r>
    </w:p>
    <w:p w:rsidR="00F24B21" w:rsidRPr="00877903" w:rsidRDefault="00910CB1" w:rsidP="00877903">
      <w:pPr>
        <w:spacing w:after="134"/>
        <w:jc w:val="center"/>
        <w:rPr>
          <w:rFonts w:ascii="Garamond" w:hAnsi="Garamond"/>
          <w:b/>
        </w:rPr>
      </w:pPr>
      <w:r w:rsidRPr="00E546D8">
        <w:rPr>
          <w:rFonts w:ascii="Garamond" w:eastAsia="Arial" w:hAnsi="Garamond" w:cs="Arial"/>
          <w:b/>
        </w:rPr>
        <w:t xml:space="preserve">Capacity Building of teaching staff of the </w:t>
      </w:r>
      <w:proofErr w:type="spellStart"/>
      <w:r w:rsidRPr="00E546D8">
        <w:rPr>
          <w:rFonts w:ascii="Garamond" w:eastAsia="Arial" w:hAnsi="Garamond" w:cs="Arial"/>
          <w:b/>
        </w:rPr>
        <w:t>FoL</w:t>
      </w:r>
      <w:proofErr w:type="spellEnd"/>
      <w:r w:rsidRPr="00E546D8">
        <w:rPr>
          <w:rFonts w:ascii="Garamond" w:eastAsia="Arial" w:hAnsi="Garamond" w:cs="Arial"/>
          <w:b/>
        </w:rPr>
        <w:t xml:space="preserve"> and non-academic partners</w:t>
      </w:r>
    </w:p>
    <w:p w:rsidR="00F24B21" w:rsidRDefault="00F24B21" w:rsidP="002943B8">
      <w:pPr>
        <w:spacing w:after="0"/>
      </w:pPr>
      <w:bookmarkStart w:id="0" w:name="_GoBack"/>
      <w:bookmarkEnd w:id="0"/>
    </w:p>
    <w:p w:rsidR="001055CA" w:rsidRPr="00877903" w:rsidRDefault="001055CA" w:rsidP="0031127F">
      <w:pPr>
        <w:pStyle w:val="NoSpacing"/>
        <w:spacing w:line="276" w:lineRule="auto"/>
        <w:jc w:val="both"/>
        <w:rPr>
          <w:rFonts w:ascii="Garamond" w:hAnsi="Garamond"/>
          <w:sz w:val="21"/>
          <w:szCs w:val="21"/>
        </w:rPr>
      </w:pPr>
      <w:r w:rsidRPr="00877903">
        <w:rPr>
          <w:rFonts w:ascii="Garamond" w:hAnsi="Garamond"/>
          <w:sz w:val="21"/>
          <w:szCs w:val="21"/>
        </w:rPr>
        <w:t xml:space="preserve">Delegation of Faculty of Law University of </w:t>
      </w:r>
      <w:r w:rsidRPr="00877903">
        <w:rPr>
          <w:rFonts w:ascii="Garamond" w:hAnsi="Garamond"/>
          <w:sz w:val="21"/>
          <w:szCs w:val="21"/>
        </w:rPr>
        <w:t xml:space="preserve">Montenegro consisted of the professors </w:t>
      </w:r>
      <w:proofErr w:type="spellStart"/>
      <w:r w:rsidR="00A93145" w:rsidRPr="00877903">
        <w:rPr>
          <w:rFonts w:ascii="Garamond" w:hAnsi="Garamond"/>
          <w:sz w:val="21"/>
          <w:szCs w:val="21"/>
        </w:rPr>
        <w:t>Vjera</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Radovic</w:t>
      </w:r>
      <w:proofErr w:type="spellEnd"/>
      <w:r w:rsidR="00A93145" w:rsidRPr="00877903">
        <w:rPr>
          <w:rFonts w:ascii="Garamond" w:hAnsi="Garamond"/>
          <w:sz w:val="21"/>
          <w:szCs w:val="21"/>
        </w:rPr>
        <w:t xml:space="preserve">, </w:t>
      </w:r>
      <w:proofErr w:type="spellStart"/>
      <w:r w:rsidRPr="00877903">
        <w:rPr>
          <w:rFonts w:ascii="Garamond" w:hAnsi="Garamond"/>
          <w:sz w:val="21"/>
          <w:szCs w:val="21"/>
        </w:rPr>
        <w:t>Biljana</w:t>
      </w:r>
      <w:proofErr w:type="spellEnd"/>
      <w:r w:rsidRPr="00877903">
        <w:rPr>
          <w:rFonts w:ascii="Garamond" w:hAnsi="Garamond"/>
          <w:sz w:val="21"/>
          <w:szCs w:val="21"/>
        </w:rPr>
        <w:t xml:space="preserve"> </w:t>
      </w:r>
      <w:proofErr w:type="spellStart"/>
      <w:r w:rsidRPr="00877903">
        <w:rPr>
          <w:rFonts w:ascii="Garamond" w:hAnsi="Garamond"/>
          <w:sz w:val="21"/>
          <w:szCs w:val="21"/>
        </w:rPr>
        <w:t>Djuricin</w:t>
      </w:r>
      <w:proofErr w:type="spellEnd"/>
      <w:r w:rsidRPr="00877903">
        <w:rPr>
          <w:rFonts w:ascii="Garamond" w:hAnsi="Garamond"/>
          <w:sz w:val="21"/>
          <w:szCs w:val="21"/>
        </w:rPr>
        <w:t xml:space="preserve">, </w:t>
      </w:r>
      <w:proofErr w:type="spellStart"/>
      <w:r w:rsidR="00A93145" w:rsidRPr="00877903">
        <w:rPr>
          <w:rFonts w:ascii="Garamond" w:hAnsi="Garamond"/>
          <w:sz w:val="21"/>
          <w:szCs w:val="21"/>
        </w:rPr>
        <w:t>Radoje</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Korac</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Liljana</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Jokic</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Gordana</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Jeknic</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Maja</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Kostic</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Mandic</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Drazen</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Cerovic</w:t>
      </w:r>
      <w:proofErr w:type="spellEnd"/>
      <w:r w:rsidR="00A93145" w:rsidRPr="00877903">
        <w:rPr>
          <w:rFonts w:ascii="Garamond" w:hAnsi="Garamond"/>
          <w:sz w:val="21"/>
          <w:szCs w:val="21"/>
        </w:rPr>
        <w:t xml:space="preserve"> and </w:t>
      </w:r>
      <w:proofErr w:type="spellStart"/>
      <w:r w:rsidR="00A93145" w:rsidRPr="00877903">
        <w:rPr>
          <w:rFonts w:ascii="Garamond" w:hAnsi="Garamond"/>
          <w:sz w:val="21"/>
          <w:szCs w:val="21"/>
        </w:rPr>
        <w:t>Aneta</w:t>
      </w:r>
      <w:proofErr w:type="spellEnd"/>
      <w:r w:rsidR="00A93145" w:rsidRPr="00877903">
        <w:rPr>
          <w:rFonts w:ascii="Garamond" w:hAnsi="Garamond"/>
          <w:sz w:val="21"/>
          <w:szCs w:val="21"/>
        </w:rPr>
        <w:t xml:space="preserve"> </w:t>
      </w:r>
      <w:proofErr w:type="spellStart"/>
      <w:r w:rsidR="00A93145" w:rsidRPr="00877903">
        <w:rPr>
          <w:rFonts w:ascii="Garamond" w:hAnsi="Garamond"/>
          <w:sz w:val="21"/>
          <w:szCs w:val="21"/>
        </w:rPr>
        <w:t>Spaic</w:t>
      </w:r>
      <w:proofErr w:type="spellEnd"/>
      <w:r w:rsidR="00A93145" w:rsidRPr="00877903">
        <w:rPr>
          <w:rFonts w:ascii="Garamond" w:hAnsi="Garamond"/>
          <w:sz w:val="21"/>
          <w:szCs w:val="21"/>
        </w:rPr>
        <w:t>,</w:t>
      </w:r>
      <w:r w:rsidR="007D340A" w:rsidRPr="00877903">
        <w:rPr>
          <w:rFonts w:ascii="Garamond" w:hAnsi="Garamond"/>
          <w:sz w:val="21"/>
          <w:szCs w:val="21"/>
        </w:rPr>
        <w:t xml:space="preserve"> has</w:t>
      </w:r>
      <w:r w:rsidR="00A93145" w:rsidRPr="00877903">
        <w:rPr>
          <w:rFonts w:ascii="Garamond" w:hAnsi="Garamond"/>
          <w:sz w:val="21"/>
          <w:szCs w:val="21"/>
        </w:rPr>
        <w:t xml:space="preserve"> visited Faculty of Law University of Zagreb </w:t>
      </w:r>
      <w:r w:rsidR="007D340A" w:rsidRPr="00877903">
        <w:rPr>
          <w:rFonts w:ascii="Garamond" w:hAnsi="Garamond"/>
          <w:sz w:val="21"/>
          <w:szCs w:val="21"/>
        </w:rPr>
        <w:t xml:space="preserve">in the period of March 31 to April 4, 2019 within CABUFAL Project. The study visit has </w:t>
      </w:r>
      <w:r w:rsidR="000E5AE0" w:rsidRPr="00877903">
        <w:rPr>
          <w:rFonts w:ascii="Garamond" w:hAnsi="Garamond"/>
          <w:sz w:val="21"/>
          <w:szCs w:val="21"/>
        </w:rPr>
        <w:t xml:space="preserve">been initiated by the welcome speech and presentation of the dean of the Faculty of law – prof. </w:t>
      </w:r>
      <w:proofErr w:type="spellStart"/>
      <w:r w:rsidR="000E5AE0" w:rsidRPr="00877903">
        <w:rPr>
          <w:rFonts w:ascii="Garamond" w:hAnsi="Garamond"/>
          <w:sz w:val="21"/>
          <w:szCs w:val="21"/>
        </w:rPr>
        <w:t>dr</w:t>
      </w:r>
      <w:proofErr w:type="spellEnd"/>
      <w:r w:rsidR="000E5AE0" w:rsidRPr="00877903">
        <w:rPr>
          <w:rFonts w:ascii="Garamond" w:hAnsi="Garamond"/>
          <w:sz w:val="21"/>
          <w:szCs w:val="21"/>
        </w:rPr>
        <w:t xml:space="preserve"> Igor </w:t>
      </w:r>
      <w:proofErr w:type="spellStart"/>
      <w:r w:rsidR="000E5AE0" w:rsidRPr="00877903">
        <w:rPr>
          <w:rFonts w:ascii="Garamond" w:hAnsi="Garamond"/>
          <w:sz w:val="21"/>
          <w:szCs w:val="21"/>
        </w:rPr>
        <w:t>Gliha</w:t>
      </w:r>
      <w:proofErr w:type="spellEnd"/>
      <w:r w:rsidR="000E5AE0" w:rsidRPr="00877903">
        <w:rPr>
          <w:rFonts w:ascii="Garamond" w:hAnsi="Garamond"/>
          <w:sz w:val="21"/>
          <w:szCs w:val="21"/>
        </w:rPr>
        <w:t xml:space="preserve"> and vice dean prof. </w:t>
      </w:r>
      <w:proofErr w:type="spellStart"/>
      <w:r w:rsidR="000E5AE0" w:rsidRPr="00877903">
        <w:rPr>
          <w:rFonts w:ascii="Garamond" w:hAnsi="Garamond"/>
          <w:sz w:val="21"/>
          <w:szCs w:val="21"/>
        </w:rPr>
        <w:t>dr</w:t>
      </w:r>
      <w:proofErr w:type="spellEnd"/>
      <w:r w:rsidR="000E5AE0" w:rsidRPr="00877903">
        <w:rPr>
          <w:rFonts w:ascii="Garamond" w:hAnsi="Garamond"/>
          <w:sz w:val="21"/>
          <w:szCs w:val="21"/>
        </w:rPr>
        <w:t xml:space="preserve"> Marko </w:t>
      </w:r>
      <w:proofErr w:type="spellStart"/>
      <w:r w:rsidR="000E5AE0" w:rsidRPr="00877903">
        <w:rPr>
          <w:rFonts w:ascii="Garamond" w:hAnsi="Garamond"/>
          <w:sz w:val="21"/>
          <w:szCs w:val="21"/>
        </w:rPr>
        <w:t>Juric</w:t>
      </w:r>
      <w:proofErr w:type="spellEnd"/>
      <w:r w:rsidR="000E5AE0" w:rsidRPr="00877903">
        <w:rPr>
          <w:rFonts w:ascii="Garamond" w:hAnsi="Garamond"/>
          <w:sz w:val="21"/>
          <w:szCs w:val="21"/>
        </w:rPr>
        <w:t xml:space="preserve">. </w:t>
      </w:r>
      <w:r w:rsidR="007E6004" w:rsidRPr="00877903">
        <w:rPr>
          <w:rFonts w:ascii="Garamond" w:hAnsi="Garamond"/>
          <w:sz w:val="21"/>
          <w:szCs w:val="21"/>
        </w:rPr>
        <w:t>The members of delegation have been exposed to the experiences of teaching various disciplines of EU law such</w:t>
      </w:r>
      <w:r w:rsidR="00115C8A" w:rsidRPr="00877903">
        <w:rPr>
          <w:rFonts w:ascii="Garamond" w:hAnsi="Garamond"/>
          <w:sz w:val="21"/>
          <w:szCs w:val="21"/>
        </w:rPr>
        <w:t xml:space="preserve"> as EU</w:t>
      </w:r>
      <w:r w:rsidR="00D92042" w:rsidRPr="00877903">
        <w:rPr>
          <w:rFonts w:ascii="Garamond" w:hAnsi="Garamond"/>
          <w:sz w:val="21"/>
          <w:szCs w:val="21"/>
        </w:rPr>
        <w:t xml:space="preserve"> </w:t>
      </w:r>
      <w:r w:rsidR="009F49AE" w:rsidRPr="00877903">
        <w:rPr>
          <w:rFonts w:ascii="Garamond" w:hAnsi="Garamond"/>
          <w:sz w:val="21"/>
          <w:szCs w:val="21"/>
        </w:rPr>
        <w:t xml:space="preserve">Public law, EU Private law, EU </w:t>
      </w:r>
      <w:r w:rsidR="00D92042" w:rsidRPr="00877903">
        <w:rPr>
          <w:rFonts w:ascii="Garamond" w:hAnsi="Garamond"/>
          <w:sz w:val="21"/>
          <w:szCs w:val="21"/>
        </w:rPr>
        <w:t>C</w:t>
      </w:r>
      <w:r w:rsidR="007E6004" w:rsidRPr="00877903">
        <w:rPr>
          <w:rFonts w:ascii="Garamond" w:hAnsi="Garamond"/>
          <w:sz w:val="21"/>
          <w:szCs w:val="21"/>
        </w:rPr>
        <w:t xml:space="preserve">riminal law, Constitutional law, </w:t>
      </w:r>
      <w:r w:rsidR="009F49AE" w:rsidRPr="00877903">
        <w:rPr>
          <w:rFonts w:ascii="Garamond" w:hAnsi="Garamond"/>
          <w:sz w:val="21"/>
          <w:szCs w:val="21"/>
        </w:rPr>
        <w:t xml:space="preserve">E – learning  etc. The lectures have been scheduled within three working days planned for the </w:t>
      </w:r>
      <w:r w:rsidR="000E5AE0" w:rsidRPr="00877903">
        <w:rPr>
          <w:rFonts w:ascii="Garamond" w:hAnsi="Garamond"/>
          <w:sz w:val="21"/>
          <w:szCs w:val="21"/>
        </w:rPr>
        <w:t xml:space="preserve">study visit. More than ten professors have been involved from the side of the Faculty of law and these are: Marko </w:t>
      </w:r>
      <w:proofErr w:type="spellStart"/>
      <w:r w:rsidR="000E5AE0" w:rsidRPr="00877903">
        <w:rPr>
          <w:rFonts w:ascii="Garamond" w:hAnsi="Garamond"/>
          <w:sz w:val="21"/>
          <w:szCs w:val="21"/>
        </w:rPr>
        <w:t>Juric</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Mihovil</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Skarica</w:t>
      </w:r>
      <w:proofErr w:type="spellEnd"/>
      <w:r w:rsidR="000E5AE0" w:rsidRPr="00877903">
        <w:rPr>
          <w:rFonts w:ascii="Garamond" w:hAnsi="Garamond"/>
          <w:sz w:val="21"/>
          <w:szCs w:val="21"/>
        </w:rPr>
        <w:t xml:space="preserve">, Iris </w:t>
      </w:r>
      <w:proofErr w:type="spellStart"/>
      <w:r w:rsidR="000E5AE0" w:rsidRPr="00877903">
        <w:rPr>
          <w:rFonts w:ascii="Garamond" w:hAnsi="Garamond"/>
          <w:sz w:val="21"/>
          <w:szCs w:val="21"/>
        </w:rPr>
        <w:t>Goldner</w:t>
      </w:r>
      <w:proofErr w:type="spellEnd"/>
      <w:r w:rsidR="000E5AE0" w:rsidRPr="00877903">
        <w:rPr>
          <w:rFonts w:ascii="Garamond" w:hAnsi="Garamond"/>
          <w:sz w:val="21"/>
          <w:szCs w:val="21"/>
        </w:rPr>
        <w:t xml:space="preserve"> Land, </w:t>
      </w:r>
      <w:proofErr w:type="spellStart"/>
      <w:r w:rsidR="000E5AE0" w:rsidRPr="00877903">
        <w:rPr>
          <w:rFonts w:ascii="Garamond" w:hAnsi="Garamond"/>
          <w:sz w:val="21"/>
          <w:szCs w:val="21"/>
        </w:rPr>
        <w:t>Meliha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Carevic</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Majda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Munivrana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Vajda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Alen</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Uzelac</w:t>
      </w:r>
      <w:proofErr w:type="spellEnd"/>
      <w:r w:rsidR="000E5AE0" w:rsidRPr="00877903">
        <w:rPr>
          <w:rFonts w:ascii="Garamond" w:hAnsi="Garamond"/>
          <w:sz w:val="21"/>
          <w:szCs w:val="21"/>
        </w:rPr>
        <w:t xml:space="preserve">, Ivana </w:t>
      </w:r>
      <w:proofErr w:type="spellStart"/>
      <w:r w:rsidR="000E5AE0" w:rsidRPr="00877903">
        <w:rPr>
          <w:rFonts w:ascii="Garamond" w:hAnsi="Garamond"/>
          <w:sz w:val="21"/>
          <w:szCs w:val="21"/>
        </w:rPr>
        <w:t>Kanceljak</w:t>
      </w:r>
      <w:proofErr w:type="spellEnd"/>
      <w:r w:rsidR="000E5AE0" w:rsidRPr="00877903">
        <w:rPr>
          <w:rFonts w:ascii="Garamond" w:hAnsi="Garamond"/>
          <w:sz w:val="21"/>
          <w:szCs w:val="21"/>
        </w:rPr>
        <w:t xml:space="preserve">, Ana </w:t>
      </w:r>
      <w:proofErr w:type="spellStart"/>
      <w:r w:rsidR="000E5AE0" w:rsidRPr="00877903">
        <w:rPr>
          <w:rFonts w:ascii="Garamond" w:hAnsi="Garamond"/>
          <w:sz w:val="21"/>
          <w:szCs w:val="21"/>
        </w:rPr>
        <w:t>Horvat</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Vukovic</w:t>
      </w:r>
      <w:proofErr w:type="spellEnd"/>
      <w:proofErr w:type="gramStart"/>
      <w:r w:rsidR="000E5AE0" w:rsidRPr="00877903">
        <w:rPr>
          <w:rFonts w:ascii="Garamond" w:hAnsi="Garamond"/>
          <w:sz w:val="21"/>
          <w:szCs w:val="21"/>
        </w:rPr>
        <w:t xml:space="preserve">,  </w:t>
      </w:r>
      <w:proofErr w:type="spellStart"/>
      <w:r w:rsidR="000E5AE0" w:rsidRPr="00877903">
        <w:rPr>
          <w:rFonts w:ascii="Garamond" w:hAnsi="Garamond"/>
          <w:sz w:val="21"/>
          <w:szCs w:val="21"/>
        </w:rPr>
        <w:t>Zlata</w:t>
      </w:r>
      <w:proofErr w:type="spellEnd"/>
      <w:proofErr w:type="gramEnd"/>
      <w:r w:rsidR="000E5AE0" w:rsidRPr="00877903">
        <w:rPr>
          <w:rFonts w:ascii="Garamond" w:hAnsi="Garamond"/>
          <w:sz w:val="21"/>
          <w:szCs w:val="21"/>
        </w:rPr>
        <w:t xml:space="preserve"> </w:t>
      </w:r>
      <w:proofErr w:type="spellStart"/>
      <w:r w:rsidR="000E5AE0" w:rsidRPr="00877903">
        <w:rPr>
          <w:rFonts w:ascii="Garamond" w:hAnsi="Garamond"/>
          <w:sz w:val="21"/>
          <w:szCs w:val="21"/>
        </w:rPr>
        <w:t>Đurđević</w:t>
      </w:r>
      <w:proofErr w:type="spellEnd"/>
      <w:r w:rsidR="000E5AE0" w:rsidRPr="00877903">
        <w:rPr>
          <w:rFonts w:ascii="Garamond" w:hAnsi="Garamond"/>
          <w:sz w:val="21"/>
          <w:szCs w:val="21"/>
        </w:rPr>
        <w:t>,</w:t>
      </w:r>
      <w:r w:rsidR="000E5AE0" w:rsidRPr="00877903">
        <w:rPr>
          <w:rFonts w:ascii="Garamond" w:hAnsi="Garamond"/>
          <w:sz w:val="21"/>
          <w:szCs w:val="21"/>
        </w:rPr>
        <w:t xml:space="preserve">  </w:t>
      </w:r>
      <w:proofErr w:type="spellStart"/>
      <w:r w:rsidR="000E5AE0" w:rsidRPr="00877903">
        <w:rPr>
          <w:rFonts w:ascii="Garamond" w:hAnsi="Garamond"/>
          <w:sz w:val="21"/>
          <w:szCs w:val="21"/>
        </w:rPr>
        <w:t>Antonija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Ivančan</w:t>
      </w:r>
      <w:proofErr w:type="spellEnd"/>
      <w:r w:rsidR="000E5AE0" w:rsidRPr="00877903">
        <w:rPr>
          <w:rFonts w:ascii="Garamond" w:hAnsi="Garamond"/>
          <w:sz w:val="21"/>
          <w:szCs w:val="21"/>
        </w:rPr>
        <w:t xml:space="preserve">, Barbara </w:t>
      </w:r>
      <w:proofErr w:type="spellStart"/>
      <w:r w:rsidR="000E5AE0" w:rsidRPr="00877903">
        <w:rPr>
          <w:rFonts w:ascii="Garamond" w:hAnsi="Garamond"/>
          <w:sz w:val="21"/>
          <w:szCs w:val="21"/>
        </w:rPr>
        <w:t>Preloznjak</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Juraj</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Brozovic</w:t>
      </w:r>
      <w:proofErr w:type="spellEnd"/>
      <w:r w:rsidR="000E5AE0" w:rsidRPr="00877903">
        <w:rPr>
          <w:rFonts w:ascii="Garamond" w:hAnsi="Garamond"/>
          <w:sz w:val="21"/>
          <w:szCs w:val="21"/>
        </w:rPr>
        <w:t xml:space="preserve"> etc…</w:t>
      </w:r>
    </w:p>
    <w:p w:rsidR="007D340A" w:rsidRPr="00877903" w:rsidRDefault="007D340A" w:rsidP="0031127F">
      <w:pPr>
        <w:spacing w:after="0" w:line="276" w:lineRule="auto"/>
        <w:ind w:left="1"/>
        <w:jc w:val="both"/>
        <w:rPr>
          <w:rFonts w:ascii="Garamond" w:hAnsi="Garamond"/>
          <w:sz w:val="21"/>
          <w:szCs w:val="21"/>
        </w:rPr>
      </w:pPr>
    </w:p>
    <w:p w:rsidR="007D340A" w:rsidRPr="00877903" w:rsidRDefault="007D340A" w:rsidP="0031127F">
      <w:pPr>
        <w:spacing w:after="0" w:line="276" w:lineRule="auto"/>
        <w:ind w:left="1"/>
        <w:jc w:val="both"/>
        <w:rPr>
          <w:rFonts w:ascii="Garamond" w:hAnsi="Garamond"/>
          <w:sz w:val="21"/>
          <w:szCs w:val="21"/>
        </w:rPr>
      </w:pPr>
    </w:p>
    <w:p w:rsidR="00F24B21" w:rsidRPr="00877903" w:rsidRDefault="000E5AE0" w:rsidP="0031127F">
      <w:pPr>
        <w:spacing w:after="0" w:line="276" w:lineRule="auto"/>
        <w:ind w:left="1" w:right="5"/>
        <w:jc w:val="both"/>
        <w:rPr>
          <w:rFonts w:ascii="Garamond" w:hAnsi="Garamond"/>
          <w:sz w:val="21"/>
          <w:szCs w:val="21"/>
        </w:rPr>
      </w:pPr>
      <w:r w:rsidRPr="00877903">
        <w:rPr>
          <w:rFonts w:ascii="Garamond" w:hAnsi="Garamond"/>
          <w:sz w:val="21"/>
          <w:szCs w:val="21"/>
        </w:rPr>
        <w:t xml:space="preserve">The first day </w:t>
      </w:r>
      <w:r w:rsidR="0031127F" w:rsidRPr="00877903">
        <w:rPr>
          <w:rFonts w:ascii="Garamond" w:hAnsi="Garamond"/>
          <w:sz w:val="21"/>
          <w:szCs w:val="21"/>
        </w:rPr>
        <w:t xml:space="preserve">of the study visit </w:t>
      </w:r>
      <w:r w:rsidRPr="00877903">
        <w:rPr>
          <w:rFonts w:ascii="Garamond" w:hAnsi="Garamond"/>
          <w:sz w:val="21"/>
          <w:szCs w:val="21"/>
        </w:rPr>
        <w:t xml:space="preserve">has been initiated by the </w:t>
      </w:r>
      <w:r w:rsidR="0031127F" w:rsidRPr="00877903">
        <w:rPr>
          <w:rFonts w:ascii="Garamond" w:hAnsi="Garamond"/>
          <w:sz w:val="21"/>
          <w:szCs w:val="21"/>
        </w:rPr>
        <w:t xml:space="preserve">lecture of the </w:t>
      </w:r>
      <w:r w:rsidRPr="00877903">
        <w:rPr>
          <w:rFonts w:ascii="Garamond" w:hAnsi="Garamond"/>
          <w:sz w:val="21"/>
          <w:szCs w:val="21"/>
        </w:rPr>
        <w:t xml:space="preserve">prof.  </w:t>
      </w:r>
      <w:proofErr w:type="spellStart"/>
      <w:r w:rsidRPr="00877903">
        <w:rPr>
          <w:rFonts w:ascii="Garamond" w:hAnsi="Garamond"/>
          <w:sz w:val="21"/>
          <w:szCs w:val="21"/>
        </w:rPr>
        <w:t>dr</w:t>
      </w:r>
      <w:proofErr w:type="spellEnd"/>
      <w:r w:rsidRPr="00877903">
        <w:rPr>
          <w:rFonts w:ascii="Garamond" w:hAnsi="Garamond"/>
          <w:sz w:val="21"/>
          <w:szCs w:val="21"/>
        </w:rPr>
        <w:t xml:space="preserve"> </w:t>
      </w:r>
      <w:r w:rsidR="001055CA" w:rsidRPr="00877903">
        <w:rPr>
          <w:rFonts w:ascii="Garamond" w:hAnsi="Garamond"/>
          <w:sz w:val="21"/>
          <w:szCs w:val="21"/>
        </w:rPr>
        <w:t xml:space="preserve">Iris </w:t>
      </w:r>
      <w:proofErr w:type="spellStart"/>
      <w:r w:rsidR="001055CA" w:rsidRPr="00877903">
        <w:rPr>
          <w:rFonts w:ascii="Garamond" w:hAnsi="Garamond"/>
          <w:sz w:val="21"/>
          <w:szCs w:val="21"/>
        </w:rPr>
        <w:t>Goldner</w:t>
      </w:r>
      <w:proofErr w:type="spellEnd"/>
      <w:r w:rsidR="001055CA" w:rsidRPr="00877903">
        <w:rPr>
          <w:rFonts w:ascii="Garamond" w:hAnsi="Garamond"/>
          <w:sz w:val="21"/>
          <w:szCs w:val="21"/>
        </w:rPr>
        <w:t xml:space="preserve"> Lang</w:t>
      </w:r>
      <w:r w:rsidR="0031127F" w:rsidRPr="00877903">
        <w:rPr>
          <w:rFonts w:ascii="Garamond" w:hAnsi="Garamond"/>
          <w:sz w:val="21"/>
          <w:szCs w:val="21"/>
        </w:rPr>
        <w:t xml:space="preserve">. Along with the presentation on the ways of EU law introductory course has </w:t>
      </w:r>
      <w:proofErr w:type="spellStart"/>
      <w:r w:rsidR="0031127F" w:rsidRPr="00877903">
        <w:rPr>
          <w:rFonts w:ascii="Garamond" w:hAnsi="Garamond"/>
          <w:sz w:val="21"/>
          <w:szCs w:val="21"/>
        </w:rPr>
        <w:t>became</w:t>
      </w:r>
      <w:proofErr w:type="spellEnd"/>
      <w:r w:rsidR="0031127F" w:rsidRPr="00877903">
        <w:rPr>
          <w:rFonts w:ascii="Garamond" w:hAnsi="Garamond"/>
          <w:sz w:val="21"/>
          <w:szCs w:val="21"/>
        </w:rPr>
        <w:t xml:space="preserve"> the compulsory subject she provided the information on the current ongoing Jean Monnet Center for excellence which organizes very well established seminars and summer schools established to tackle and delve deep into the various EU topics. It has been followed by the le</w:t>
      </w:r>
      <w:r w:rsidR="001055CA" w:rsidRPr="00877903">
        <w:rPr>
          <w:rFonts w:ascii="Garamond" w:hAnsi="Garamond"/>
          <w:sz w:val="21"/>
          <w:szCs w:val="21"/>
        </w:rPr>
        <w:t xml:space="preserve">cture European public </w:t>
      </w:r>
      <w:proofErr w:type="gramStart"/>
      <w:r w:rsidR="001055CA" w:rsidRPr="00877903">
        <w:rPr>
          <w:rFonts w:ascii="Garamond" w:hAnsi="Garamond"/>
          <w:sz w:val="21"/>
          <w:szCs w:val="21"/>
        </w:rPr>
        <w:t>law</w:t>
      </w:r>
      <w:r w:rsidR="001055CA" w:rsidRPr="00877903">
        <w:rPr>
          <w:rFonts w:ascii="Garamond" w:hAnsi="Garamond"/>
          <w:sz w:val="21"/>
          <w:szCs w:val="21"/>
        </w:rPr>
        <w:t xml:space="preserve">  </w:t>
      </w:r>
      <w:r w:rsidR="001055CA" w:rsidRPr="00877903">
        <w:rPr>
          <w:rFonts w:ascii="Garamond" w:hAnsi="Garamond"/>
          <w:sz w:val="21"/>
          <w:szCs w:val="21"/>
        </w:rPr>
        <w:t>Professor</w:t>
      </w:r>
      <w:proofErr w:type="gramEnd"/>
      <w:r w:rsidR="001055CA" w:rsidRPr="00877903">
        <w:rPr>
          <w:rFonts w:ascii="Garamond" w:hAnsi="Garamond"/>
          <w:sz w:val="21"/>
          <w:szCs w:val="21"/>
        </w:rPr>
        <w:t xml:space="preserve"> Dr. </w:t>
      </w:r>
      <w:proofErr w:type="spellStart"/>
      <w:r w:rsidR="001055CA" w:rsidRPr="00877903">
        <w:rPr>
          <w:rFonts w:ascii="Garamond" w:hAnsi="Garamond"/>
          <w:sz w:val="21"/>
          <w:szCs w:val="21"/>
        </w:rPr>
        <w:t>Melita</w:t>
      </w:r>
      <w:proofErr w:type="spellEnd"/>
      <w:r w:rsidR="001055CA" w:rsidRPr="00877903">
        <w:rPr>
          <w:rFonts w:ascii="Garamond" w:hAnsi="Garamond"/>
          <w:sz w:val="21"/>
          <w:szCs w:val="21"/>
        </w:rPr>
        <w:t xml:space="preserve"> </w:t>
      </w:r>
      <w:proofErr w:type="spellStart"/>
      <w:r w:rsidR="001055CA" w:rsidRPr="00877903">
        <w:rPr>
          <w:rFonts w:ascii="Garamond" w:hAnsi="Garamond"/>
          <w:sz w:val="21"/>
          <w:szCs w:val="21"/>
        </w:rPr>
        <w:t>Carević</w:t>
      </w:r>
      <w:proofErr w:type="spellEnd"/>
      <w:r w:rsidR="0031127F" w:rsidRPr="00877903">
        <w:rPr>
          <w:rFonts w:ascii="Garamond" w:hAnsi="Garamond"/>
          <w:sz w:val="21"/>
          <w:szCs w:val="21"/>
        </w:rPr>
        <w:t xml:space="preserve">. </w:t>
      </w:r>
    </w:p>
    <w:p w:rsidR="001055CA" w:rsidRPr="00877903" w:rsidRDefault="001055CA" w:rsidP="0031127F">
      <w:pPr>
        <w:spacing w:after="0" w:line="276" w:lineRule="auto"/>
        <w:jc w:val="both"/>
        <w:rPr>
          <w:rFonts w:ascii="Garamond" w:hAnsi="Garamond"/>
          <w:sz w:val="21"/>
          <w:szCs w:val="21"/>
        </w:rPr>
      </w:pPr>
    </w:p>
    <w:p w:rsidR="001055CA" w:rsidRPr="00877903" w:rsidRDefault="001055CA" w:rsidP="0031127F">
      <w:pPr>
        <w:spacing w:after="0" w:line="276" w:lineRule="auto"/>
        <w:jc w:val="both"/>
        <w:rPr>
          <w:rFonts w:ascii="Garamond" w:hAnsi="Garamond"/>
          <w:sz w:val="21"/>
          <w:szCs w:val="21"/>
        </w:rPr>
      </w:pPr>
      <w:r w:rsidRPr="00877903">
        <w:rPr>
          <w:rFonts w:ascii="Garamond" w:hAnsi="Garamond"/>
          <w:sz w:val="21"/>
          <w:szCs w:val="21"/>
        </w:rPr>
        <w:t xml:space="preserve">Second day of the study visit has been initiated by the </w:t>
      </w:r>
      <w:r w:rsidRPr="00877903">
        <w:rPr>
          <w:rFonts w:ascii="Garamond" w:hAnsi="Garamond"/>
          <w:sz w:val="21"/>
          <w:szCs w:val="21"/>
        </w:rPr>
        <w:t xml:space="preserve">Assistant Professor Dr. Ivana </w:t>
      </w:r>
      <w:proofErr w:type="spellStart"/>
      <w:r w:rsidRPr="00877903">
        <w:rPr>
          <w:rFonts w:ascii="Garamond" w:hAnsi="Garamond"/>
          <w:sz w:val="21"/>
          <w:szCs w:val="21"/>
        </w:rPr>
        <w:t>Kanceljak</w:t>
      </w:r>
      <w:proofErr w:type="spellEnd"/>
      <w:r w:rsidRPr="00877903">
        <w:rPr>
          <w:rFonts w:ascii="Garamond" w:hAnsi="Garamond"/>
          <w:sz w:val="21"/>
          <w:szCs w:val="21"/>
        </w:rPr>
        <w:t>, coordinator for e-learning at the Faculty of Law</w:t>
      </w:r>
      <w:r w:rsidR="0031127F" w:rsidRPr="00877903">
        <w:rPr>
          <w:rFonts w:ascii="Garamond" w:hAnsi="Garamond"/>
          <w:sz w:val="21"/>
          <w:szCs w:val="21"/>
        </w:rPr>
        <w:t>. She presented on the topic</w:t>
      </w:r>
      <w:r w:rsidRPr="00877903">
        <w:rPr>
          <w:rFonts w:ascii="Garamond" w:hAnsi="Garamond"/>
          <w:sz w:val="21"/>
          <w:szCs w:val="21"/>
        </w:rPr>
        <w:t xml:space="preserve"> </w:t>
      </w:r>
      <w:r w:rsidR="00CE1A31" w:rsidRPr="00877903">
        <w:rPr>
          <w:rFonts w:ascii="Garamond" w:hAnsi="Garamond"/>
          <w:sz w:val="21"/>
          <w:szCs w:val="21"/>
        </w:rPr>
        <w:t>“</w:t>
      </w:r>
      <w:r w:rsidRPr="00877903">
        <w:rPr>
          <w:rFonts w:ascii="Garamond" w:hAnsi="Garamond"/>
          <w:sz w:val="21"/>
          <w:szCs w:val="21"/>
        </w:rPr>
        <w:t xml:space="preserve">E-learning system </w:t>
      </w:r>
      <w:r w:rsidR="0031127F" w:rsidRPr="00877903">
        <w:rPr>
          <w:rFonts w:ascii="Garamond" w:hAnsi="Garamond"/>
          <w:sz w:val="21"/>
          <w:szCs w:val="21"/>
        </w:rPr>
        <w:t xml:space="preserve">Moodle”. At the same day </w:t>
      </w:r>
      <w:r w:rsidR="0031127F" w:rsidRPr="00877903">
        <w:rPr>
          <w:rFonts w:ascii="Garamond" w:hAnsi="Garamond"/>
          <w:sz w:val="21"/>
          <w:szCs w:val="21"/>
        </w:rPr>
        <w:t xml:space="preserve">Professor Dr. </w:t>
      </w:r>
      <w:proofErr w:type="spellStart"/>
      <w:r w:rsidR="0031127F" w:rsidRPr="00877903">
        <w:rPr>
          <w:rFonts w:ascii="Garamond" w:hAnsi="Garamond"/>
          <w:sz w:val="21"/>
          <w:szCs w:val="21"/>
        </w:rPr>
        <w:t>Maja</w:t>
      </w:r>
      <w:proofErr w:type="spellEnd"/>
      <w:r w:rsidR="0031127F" w:rsidRPr="00877903">
        <w:rPr>
          <w:rFonts w:ascii="Garamond" w:hAnsi="Garamond"/>
          <w:sz w:val="21"/>
          <w:szCs w:val="21"/>
        </w:rPr>
        <w:t xml:space="preserve"> </w:t>
      </w:r>
      <w:proofErr w:type="spellStart"/>
      <w:r w:rsidR="0031127F" w:rsidRPr="00877903">
        <w:rPr>
          <w:rFonts w:ascii="Garamond" w:hAnsi="Garamond"/>
          <w:sz w:val="21"/>
          <w:szCs w:val="21"/>
        </w:rPr>
        <w:t>Munivrana</w:t>
      </w:r>
      <w:proofErr w:type="spellEnd"/>
      <w:r w:rsidR="0031127F" w:rsidRPr="00877903">
        <w:rPr>
          <w:rFonts w:ascii="Garamond" w:hAnsi="Garamond"/>
          <w:sz w:val="21"/>
          <w:szCs w:val="21"/>
        </w:rPr>
        <w:t xml:space="preserve"> </w:t>
      </w:r>
      <w:proofErr w:type="spellStart"/>
      <w:r w:rsidR="0031127F" w:rsidRPr="00877903">
        <w:rPr>
          <w:rFonts w:ascii="Garamond" w:hAnsi="Garamond"/>
          <w:sz w:val="21"/>
          <w:szCs w:val="21"/>
        </w:rPr>
        <w:t>Vajda</w:t>
      </w:r>
      <w:proofErr w:type="spellEnd"/>
      <w:r w:rsidR="0031127F" w:rsidRPr="00877903">
        <w:rPr>
          <w:rFonts w:ascii="Garamond" w:hAnsi="Garamond"/>
          <w:sz w:val="21"/>
          <w:szCs w:val="21"/>
        </w:rPr>
        <w:t xml:space="preserve"> has delivered the lecture on the topic “</w:t>
      </w:r>
      <w:r w:rsidRPr="00877903">
        <w:rPr>
          <w:rFonts w:ascii="Garamond" w:hAnsi="Garamond"/>
          <w:sz w:val="21"/>
          <w:szCs w:val="21"/>
        </w:rPr>
        <w:t>Criminal law in the EU legal system</w:t>
      </w:r>
      <w:proofErr w:type="gramStart"/>
      <w:r w:rsidR="00CE1A31" w:rsidRPr="00877903">
        <w:rPr>
          <w:rFonts w:ascii="Garamond" w:hAnsi="Garamond"/>
          <w:sz w:val="21"/>
          <w:szCs w:val="21"/>
        </w:rPr>
        <w:t>”</w:t>
      </w:r>
      <w:r w:rsidRPr="00877903">
        <w:rPr>
          <w:rFonts w:ascii="Garamond" w:hAnsi="Garamond"/>
          <w:sz w:val="21"/>
          <w:szCs w:val="21"/>
        </w:rPr>
        <w:t xml:space="preserve"> </w:t>
      </w:r>
      <w:r w:rsidR="0031127F" w:rsidRPr="00877903">
        <w:rPr>
          <w:rFonts w:ascii="Garamond" w:hAnsi="Garamond"/>
          <w:sz w:val="21"/>
          <w:szCs w:val="21"/>
        </w:rPr>
        <w:t>.</w:t>
      </w:r>
      <w:proofErr w:type="gramEnd"/>
      <w:r w:rsidR="0031127F" w:rsidRPr="00877903">
        <w:rPr>
          <w:rFonts w:ascii="Garamond" w:hAnsi="Garamond"/>
          <w:sz w:val="21"/>
          <w:szCs w:val="21"/>
        </w:rPr>
        <w:t xml:space="preserve"> It has been followed by the Vice dean </w:t>
      </w:r>
      <w:proofErr w:type="spellStart"/>
      <w:r w:rsidR="0031127F" w:rsidRPr="00877903">
        <w:rPr>
          <w:rFonts w:ascii="Garamond" w:hAnsi="Garamond"/>
          <w:sz w:val="21"/>
          <w:szCs w:val="21"/>
        </w:rPr>
        <w:t>Juric</w:t>
      </w:r>
      <w:proofErr w:type="spellEnd"/>
      <w:r w:rsidR="0031127F" w:rsidRPr="00877903">
        <w:rPr>
          <w:rFonts w:ascii="Garamond" w:hAnsi="Garamond"/>
          <w:sz w:val="21"/>
          <w:szCs w:val="21"/>
        </w:rPr>
        <w:t xml:space="preserve"> report on “</w:t>
      </w:r>
      <w:r w:rsidRPr="00877903">
        <w:rPr>
          <w:rFonts w:ascii="Garamond" w:hAnsi="Garamond"/>
          <w:sz w:val="21"/>
          <w:szCs w:val="21"/>
        </w:rPr>
        <w:t xml:space="preserve">Teaching process and modular system of teaching at the Faculty of Law </w:t>
      </w:r>
      <w:r w:rsidR="0031127F" w:rsidRPr="00877903">
        <w:rPr>
          <w:rFonts w:ascii="Garamond" w:hAnsi="Garamond"/>
          <w:sz w:val="21"/>
          <w:szCs w:val="21"/>
        </w:rPr>
        <w:t>University of Zagreb”.</w:t>
      </w:r>
    </w:p>
    <w:p w:rsidR="001055CA" w:rsidRPr="00877903" w:rsidRDefault="0031127F" w:rsidP="0031127F">
      <w:pPr>
        <w:spacing w:after="0" w:line="276" w:lineRule="auto"/>
        <w:ind w:left="1"/>
        <w:jc w:val="both"/>
        <w:rPr>
          <w:rFonts w:ascii="Garamond" w:hAnsi="Garamond"/>
          <w:sz w:val="21"/>
          <w:szCs w:val="21"/>
        </w:rPr>
      </w:pPr>
      <w:r w:rsidRPr="00877903">
        <w:rPr>
          <w:rFonts w:ascii="Garamond" w:hAnsi="Garamond"/>
          <w:sz w:val="21"/>
          <w:szCs w:val="21"/>
        </w:rPr>
        <w:t>T</w:t>
      </w:r>
      <w:r w:rsidR="001055CA" w:rsidRPr="00877903">
        <w:rPr>
          <w:rFonts w:ascii="Garamond" w:hAnsi="Garamond"/>
          <w:sz w:val="21"/>
          <w:szCs w:val="21"/>
        </w:rPr>
        <w:t xml:space="preserve">he practical dimension of study </w:t>
      </w:r>
      <w:proofErr w:type="spellStart"/>
      <w:r w:rsidR="001055CA" w:rsidRPr="00877903">
        <w:rPr>
          <w:rFonts w:ascii="Garamond" w:hAnsi="Garamond"/>
          <w:sz w:val="21"/>
          <w:szCs w:val="21"/>
        </w:rPr>
        <w:t>programme</w:t>
      </w:r>
      <w:proofErr w:type="spellEnd"/>
      <w:r w:rsidR="001055CA" w:rsidRPr="00877903">
        <w:rPr>
          <w:rFonts w:ascii="Garamond" w:hAnsi="Garamond"/>
          <w:sz w:val="21"/>
          <w:szCs w:val="21"/>
        </w:rPr>
        <w:t xml:space="preserve"> (legal clinics, moot courts etc.)</w:t>
      </w:r>
      <w:r w:rsidRPr="00877903">
        <w:rPr>
          <w:rFonts w:ascii="Garamond" w:hAnsi="Garamond"/>
          <w:sz w:val="21"/>
          <w:szCs w:val="21"/>
        </w:rPr>
        <w:t xml:space="preserve"> has been displayed and further discussed by several leading professor in the field such as: </w:t>
      </w:r>
      <w:r w:rsidR="001055CA" w:rsidRPr="00877903">
        <w:rPr>
          <w:rFonts w:ascii="Garamond" w:hAnsi="Garamond"/>
          <w:sz w:val="21"/>
          <w:szCs w:val="21"/>
        </w:rPr>
        <w:t xml:space="preserve">Professor Dr. Alan </w:t>
      </w:r>
      <w:proofErr w:type="spellStart"/>
      <w:r w:rsidR="001055CA" w:rsidRPr="00877903">
        <w:rPr>
          <w:rFonts w:ascii="Garamond" w:hAnsi="Garamond"/>
          <w:sz w:val="21"/>
          <w:szCs w:val="21"/>
        </w:rPr>
        <w:t>Uzelac</w:t>
      </w:r>
      <w:proofErr w:type="spellEnd"/>
      <w:r w:rsidR="000F0F33">
        <w:rPr>
          <w:rFonts w:ascii="Garamond" w:hAnsi="Garamond"/>
          <w:sz w:val="21"/>
          <w:szCs w:val="21"/>
        </w:rPr>
        <w:t xml:space="preserve">, </w:t>
      </w:r>
      <w:r w:rsidR="000E5AE0" w:rsidRPr="00877903">
        <w:rPr>
          <w:rFonts w:ascii="Garamond" w:hAnsi="Garamond"/>
          <w:sz w:val="21"/>
          <w:szCs w:val="21"/>
        </w:rPr>
        <w:t xml:space="preserve">Professor Dr. Marko </w:t>
      </w:r>
      <w:proofErr w:type="spellStart"/>
      <w:r w:rsidR="000E5AE0" w:rsidRPr="00877903">
        <w:rPr>
          <w:rFonts w:ascii="Garamond" w:hAnsi="Garamond"/>
          <w:sz w:val="21"/>
          <w:szCs w:val="21"/>
        </w:rPr>
        <w:t>Jurić</w:t>
      </w:r>
      <w:proofErr w:type="spellEnd"/>
      <w:r w:rsidR="000E5AE0" w:rsidRPr="00877903">
        <w:rPr>
          <w:rFonts w:ascii="Garamond" w:hAnsi="Garamond"/>
          <w:sz w:val="21"/>
          <w:szCs w:val="21"/>
        </w:rPr>
        <w:t xml:space="preserve">, </w:t>
      </w:r>
      <w:r w:rsidR="001055CA" w:rsidRPr="00877903">
        <w:rPr>
          <w:rFonts w:ascii="Garamond" w:hAnsi="Garamond"/>
          <w:sz w:val="21"/>
          <w:szCs w:val="21"/>
        </w:rPr>
        <w:t xml:space="preserve">Professor Dr. </w:t>
      </w:r>
      <w:proofErr w:type="spellStart"/>
      <w:r w:rsidR="001055CA" w:rsidRPr="00877903">
        <w:rPr>
          <w:rFonts w:ascii="Garamond" w:hAnsi="Garamond"/>
          <w:sz w:val="21"/>
          <w:szCs w:val="21"/>
        </w:rPr>
        <w:t>Zlata</w:t>
      </w:r>
      <w:proofErr w:type="spellEnd"/>
      <w:r w:rsidR="001055CA" w:rsidRPr="00877903">
        <w:rPr>
          <w:rFonts w:ascii="Garamond" w:hAnsi="Garamond"/>
          <w:sz w:val="21"/>
          <w:szCs w:val="21"/>
        </w:rPr>
        <w:t xml:space="preserve"> </w:t>
      </w:r>
      <w:proofErr w:type="spellStart"/>
      <w:r w:rsidR="001055CA" w:rsidRPr="00877903">
        <w:rPr>
          <w:rFonts w:ascii="Garamond" w:hAnsi="Garamond"/>
          <w:sz w:val="21"/>
          <w:szCs w:val="21"/>
        </w:rPr>
        <w:t>Đurđević</w:t>
      </w:r>
      <w:proofErr w:type="spellEnd"/>
      <w:r w:rsidR="000E5AE0" w:rsidRPr="00877903">
        <w:rPr>
          <w:rFonts w:ascii="Garamond" w:hAnsi="Garamond"/>
          <w:sz w:val="21"/>
          <w:szCs w:val="21"/>
        </w:rPr>
        <w:t xml:space="preserve"> </w:t>
      </w:r>
      <w:r w:rsidR="000F0F33">
        <w:rPr>
          <w:rFonts w:ascii="Garamond" w:hAnsi="Garamond"/>
          <w:sz w:val="21"/>
          <w:szCs w:val="21"/>
        </w:rPr>
        <w:t xml:space="preserve">and </w:t>
      </w:r>
      <w:r w:rsidR="000E5AE0" w:rsidRPr="00877903">
        <w:rPr>
          <w:rFonts w:ascii="Garamond" w:hAnsi="Garamond"/>
          <w:sz w:val="21"/>
          <w:szCs w:val="21"/>
        </w:rPr>
        <w:t xml:space="preserve">Assistant </w:t>
      </w:r>
      <w:proofErr w:type="spellStart"/>
      <w:r w:rsidR="000E5AE0" w:rsidRPr="00877903">
        <w:rPr>
          <w:rFonts w:ascii="Garamond" w:hAnsi="Garamond"/>
          <w:sz w:val="21"/>
          <w:szCs w:val="21"/>
        </w:rPr>
        <w:t>Antonija</w:t>
      </w:r>
      <w:proofErr w:type="spellEnd"/>
      <w:r w:rsidR="000E5AE0" w:rsidRPr="00877903">
        <w:rPr>
          <w:rFonts w:ascii="Garamond" w:hAnsi="Garamond"/>
          <w:sz w:val="21"/>
          <w:szCs w:val="21"/>
        </w:rPr>
        <w:t xml:space="preserve"> </w:t>
      </w:r>
      <w:proofErr w:type="spellStart"/>
      <w:r w:rsidR="000E5AE0" w:rsidRPr="00877903">
        <w:rPr>
          <w:rFonts w:ascii="Garamond" w:hAnsi="Garamond"/>
          <w:sz w:val="21"/>
          <w:szCs w:val="21"/>
        </w:rPr>
        <w:t>Ivančan</w:t>
      </w:r>
      <w:proofErr w:type="spellEnd"/>
      <w:r w:rsidRPr="00877903">
        <w:rPr>
          <w:rFonts w:ascii="Garamond" w:hAnsi="Garamond"/>
          <w:sz w:val="21"/>
          <w:szCs w:val="21"/>
        </w:rPr>
        <w:t xml:space="preserve">. Each of them tackled the area </w:t>
      </w:r>
      <w:proofErr w:type="spellStart"/>
      <w:proofErr w:type="gramStart"/>
      <w:r w:rsidRPr="00877903">
        <w:rPr>
          <w:rFonts w:ascii="Garamond" w:hAnsi="Garamond"/>
          <w:sz w:val="21"/>
          <w:szCs w:val="21"/>
        </w:rPr>
        <w:t>od</w:t>
      </w:r>
      <w:proofErr w:type="spellEnd"/>
      <w:proofErr w:type="gramEnd"/>
      <w:r w:rsidRPr="00877903">
        <w:rPr>
          <w:rFonts w:ascii="Garamond" w:hAnsi="Garamond"/>
          <w:sz w:val="21"/>
          <w:szCs w:val="21"/>
        </w:rPr>
        <w:t xml:space="preserve"> pe</w:t>
      </w:r>
      <w:r w:rsidR="00626FE6">
        <w:rPr>
          <w:rFonts w:ascii="Garamond" w:hAnsi="Garamond"/>
          <w:sz w:val="21"/>
          <w:szCs w:val="21"/>
        </w:rPr>
        <w:t>rsonal and professional expertis</w:t>
      </w:r>
      <w:r w:rsidRPr="00877903">
        <w:rPr>
          <w:rFonts w:ascii="Garamond" w:hAnsi="Garamond"/>
          <w:sz w:val="21"/>
          <w:szCs w:val="21"/>
        </w:rPr>
        <w:t>e.</w:t>
      </w:r>
    </w:p>
    <w:p w:rsidR="00CE1A31" w:rsidRPr="00877903" w:rsidRDefault="00CE1A31" w:rsidP="0031127F">
      <w:pPr>
        <w:spacing w:after="0" w:line="276" w:lineRule="auto"/>
        <w:ind w:left="1"/>
        <w:jc w:val="both"/>
        <w:rPr>
          <w:rFonts w:ascii="Garamond" w:hAnsi="Garamond"/>
          <w:sz w:val="21"/>
          <w:szCs w:val="21"/>
        </w:rPr>
      </w:pPr>
    </w:p>
    <w:p w:rsidR="00CE1A31" w:rsidRPr="00877903" w:rsidRDefault="00CE1A31" w:rsidP="0031127F">
      <w:pPr>
        <w:spacing w:after="0" w:line="276" w:lineRule="auto"/>
        <w:ind w:left="1"/>
        <w:jc w:val="both"/>
        <w:rPr>
          <w:rFonts w:ascii="Garamond" w:hAnsi="Garamond"/>
          <w:sz w:val="21"/>
          <w:szCs w:val="21"/>
        </w:rPr>
      </w:pPr>
      <w:r w:rsidRPr="00877903">
        <w:rPr>
          <w:rFonts w:ascii="Garamond" w:hAnsi="Garamond"/>
          <w:sz w:val="21"/>
          <w:szCs w:val="21"/>
        </w:rPr>
        <w:t>Third day of the visit, 3 of April has been set for the lecture</w:t>
      </w:r>
      <w:r w:rsidR="00320B50">
        <w:rPr>
          <w:rFonts w:ascii="Garamond" w:hAnsi="Garamond"/>
          <w:sz w:val="21"/>
          <w:szCs w:val="21"/>
        </w:rPr>
        <w:t>s</w:t>
      </w:r>
      <w:r w:rsidRPr="00877903">
        <w:rPr>
          <w:rFonts w:ascii="Garamond" w:hAnsi="Garamond"/>
          <w:sz w:val="21"/>
          <w:szCs w:val="21"/>
        </w:rPr>
        <w:t xml:space="preserve"> on the EU law and Constitutional Law taught by professor </w:t>
      </w:r>
      <w:proofErr w:type="spellStart"/>
      <w:r w:rsidRPr="00877903">
        <w:rPr>
          <w:rFonts w:ascii="Garamond" w:hAnsi="Garamond"/>
          <w:sz w:val="21"/>
          <w:szCs w:val="21"/>
        </w:rPr>
        <w:t>dr</w:t>
      </w:r>
      <w:proofErr w:type="spellEnd"/>
      <w:r w:rsidRPr="00877903">
        <w:rPr>
          <w:rFonts w:ascii="Garamond" w:hAnsi="Garamond"/>
          <w:sz w:val="21"/>
          <w:szCs w:val="21"/>
        </w:rPr>
        <w:t xml:space="preserve"> Ana </w:t>
      </w:r>
      <w:proofErr w:type="spellStart"/>
      <w:r w:rsidRPr="00877903">
        <w:rPr>
          <w:rFonts w:ascii="Garamond" w:hAnsi="Garamond"/>
          <w:sz w:val="21"/>
          <w:szCs w:val="21"/>
        </w:rPr>
        <w:t>Horvat</w:t>
      </w:r>
      <w:proofErr w:type="spellEnd"/>
      <w:r w:rsidRPr="00877903">
        <w:rPr>
          <w:rFonts w:ascii="Garamond" w:hAnsi="Garamond"/>
          <w:sz w:val="21"/>
          <w:szCs w:val="21"/>
        </w:rPr>
        <w:t xml:space="preserve"> </w:t>
      </w:r>
      <w:proofErr w:type="spellStart"/>
      <w:r w:rsidRPr="00877903">
        <w:rPr>
          <w:rFonts w:ascii="Garamond" w:hAnsi="Garamond"/>
          <w:sz w:val="21"/>
          <w:szCs w:val="21"/>
        </w:rPr>
        <w:t>Vuković</w:t>
      </w:r>
      <w:proofErr w:type="spellEnd"/>
      <w:r w:rsidR="007C3002" w:rsidRPr="00877903">
        <w:rPr>
          <w:rFonts w:ascii="Garamond" w:hAnsi="Garamond"/>
          <w:sz w:val="21"/>
          <w:szCs w:val="21"/>
        </w:rPr>
        <w:t xml:space="preserve">. </w:t>
      </w:r>
      <w:r w:rsidR="00984747" w:rsidRPr="00877903">
        <w:rPr>
          <w:rFonts w:ascii="Garamond" w:hAnsi="Garamond"/>
          <w:sz w:val="21"/>
          <w:szCs w:val="21"/>
        </w:rPr>
        <w:t xml:space="preserve"> Afterwards, </w:t>
      </w:r>
      <w:r w:rsidR="007C3002" w:rsidRPr="00877903">
        <w:rPr>
          <w:rFonts w:ascii="Garamond" w:hAnsi="Garamond"/>
          <w:sz w:val="21"/>
          <w:szCs w:val="21"/>
        </w:rPr>
        <w:t xml:space="preserve">Montenegrin </w:t>
      </w:r>
      <w:r w:rsidR="00F72696" w:rsidRPr="00877903">
        <w:rPr>
          <w:rFonts w:ascii="Garamond" w:hAnsi="Garamond"/>
          <w:sz w:val="21"/>
          <w:szCs w:val="21"/>
        </w:rPr>
        <w:t xml:space="preserve">delegation learned from </w:t>
      </w:r>
      <w:r w:rsidR="007C3002" w:rsidRPr="00877903">
        <w:rPr>
          <w:rFonts w:ascii="Garamond" w:hAnsi="Garamond"/>
          <w:sz w:val="21"/>
          <w:szCs w:val="21"/>
        </w:rPr>
        <w:t xml:space="preserve">Andrea </w:t>
      </w:r>
      <w:proofErr w:type="spellStart"/>
      <w:r w:rsidR="007C3002" w:rsidRPr="00877903">
        <w:rPr>
          <w:rFonts w:ascii="Garamond" w:hAnsi="Garamond"/>
          <w:sz w:val="21"/>
          <w:szCs w:val="21"/>
        </w:rPr>
        <w:t>Horić</w:t>
      </w:r>
      <w:proofErr w:type="spellEnd"/>
      <w:r w:rsidR="00F72696" w:rsidRPr="00877903">
        <w:rPr>
          <w:rFonts w:ascii="Garamond" w:hAnsi="Garamond"/>
          <w:sz w:val="21"/>
          <w:szCs w:val="21"/>
        </w:rPr>
        <w:t xml:space="preserve">, </w:t>
      </w:r>
      <w:r w:rsidR="00F72696" w:rsidRPr="00877903">
        <w:rPr>
          <w:rFonts w:ascii="Garamond" w:hAnsi="Garamond"/>
          <w:sz w:val="21"/>
          <w:szCs w:val="21"/>
        </w:rPr>
        <w:t>Head of the Library</w:t>
      </w:r>
      <w:r w:rsidR="007C3002" w:rsidRPr="00877903">
        <w:rPr>
          <w:rFonts w:ascii="Garamond" w:hAnsi="Garamond"/>
          <w:sz w:val="21"/>
          <w:szCs w:val="21"/>
        </w:rPr>
        <w:t xml:space="preserve"> </w:t>
      </w:r>
      <w:r w:rsidR="00F72696" w:rsidRPr="00877903">
        <w:rPr>
          <w:rFonts w:ascii="Garamond" w:hAnsi="Garamond"/>
          <w:sz w:val="21"/>
          <w:szCs w:val="21"/>
        </w:rPr>
        <w:t xml:space="preserve">about different library connections, electronic </w:t>
      </w:r>
      <w:r w:rsidR="00B54CD2" w:rsidRPr="00877903">
        <w:rPr>
          <w:rFonts w:ascii="Garamond" w:hAnsi="Garamond"/>
          <w:sz w:val="21"/>
          <w:szCs w:val="21"/>
        </w:rPr>
        <w:t xml:space="preserve">scientific </w:t>
      </w:r>
      <w:r w:rsidR="00F72696" w:rsidRPr="00877903">
        <w:rPr>
          <w:rFonts w:ascii="Garamond" w:hAnsi="Garamond"/>
          <w:sz w:val="21"/>
          <w:szCs w:val="21"/>
        </w:rPr>
        <w:t xml:space="preserve">data bases and </w:t>
      </w:r>
      <w:r w:rsidR="00B54CD2" w:rsidRPr="00877903">
        <w:rPr>
          <w:rFonts w:ascii="Garamond" w:hAnsi="Garamond"/>
          <w:sz w:val="21"/>
          <w:szCs w:val="21"/>
        </w:rPr>
        <w:t xml:space="preserve">future cooperation </w:t>
      </w:r>
      <w:r w:rsidR="007C3002" w:rsidRPr="00877903">
        <w:rPr>
          <w:rFonts w:ascii="Garamond" w:hAnsi="Garamond"/>
          <w:sz w:val="21"/>
          <w:szCs w:val="21"/>
        </w:rPr>
        <w:t xml:space="preserve">possibilities </w:t>
      </w:r>
      <w:proofErr w:type="gramStart"/>
      <w:r w:rsidR="00B54CD2" w:rsidRPr="00877903">
        <w:rPr>
          <w:rFonts w:ascii="Garamond" w:hAnsi="Garamond"/>
          <w:sz w:val="21"/>
          <w:szCs w:val="21"/>
        </w:rPr>
        <w:t>This</w:t>
      </w:r>
      <w:proofErr w:type="gramEnd"/>
      <w:r w:rsidR="00B54CD2" w:rsidRPr="00877903">
        <w:rPr>
          <w:rFonts w:ascii="Garamond" w:hAnsi="Garamond"/>
          <w:sz w:val="21"/>
          <w:szCs w:val="21"/>
        </w:rPr>
        <w:t xml:space="preserve"> </w:t>
      </w:r>
      <w:r w:rsidR="007C3002" w:rsidRPr="00877903">
        <w:rPr>
          <w:rFonts w:ascii="Garamond" w:hAnsi="Garamond"/>
          <w:sz w:val="21"/>
          <w:szCs w:val="21"/>
        </w:rPr>
        <w:t xml:space="preserve">presentation </w:t>
      </w:r>
      <w:r w:rsidR="00B54CD2" w:rsidRPr="00877903">
        <w:rPr>
          <w:rFonts w:ascii="Garamond" w:hAnsi="Garamond"/>
          <w:sz w:val="21"/>
          <w:szCs w:val="21"/>
        </w:rPr>
        <w:t xml:space="preserve">has been followed by the presentation on international projects, </w:t>
      </w:r>
      <w:r w:rsidR="00B54CD2" w:rsidRPr="00877903">
        <w:rPr>
          <w:rFonts w:ascii="Garamond" w:hAnsi="Garamond"/>
          <w:sz w:val="21"/>
          <w:szCs w:val="21"/>
        </w:rPr>
        <w:t xml:space="preserve">cooperation and courses in foreign languages </w:t>
      </w:r>
      <w:r w:rsidR="00B54CD2" w:rsidRPr="00877903">
        <w:rPr>
          <w:rFonts w:ascii="Garamond" w:hAnsi="Garamond"/>
          <w:sz w:val="21"/>
          <w:szCs w:val="21"/>
        </w:rPr>
        <w:t xml:space="preserve">by </w:t>
      </w:r>
      <w:r w:rsidR="007C3002" w:rsidRPr="00877903">
        <w:rPr>
          <w:rFonts w:ascii="Garamond" w:hAnsi="Garamond"/>
          <w:sz w:val="21"/>
          <w:szCs w:val="21"/>
        </w:rPr>
        <w:t xml:space="preserve">Andrea </w:t>
      </w:r>
      <w:proofErr w:type="spellStart"/>
      <w:r w:rsidR="007C3002" w:rsidRPr="00877903">
        <w:rPr>
          <w:rFonts w:ascii="Garamond" w:hAnsi="Garamond"/>
          <w:sz w:val="21"/>
          <w:szCs w:val="21"/>
        </w:rPr>
        <w:t>Mišković</w:t>
      </w:r>
      <w:proofErr w:type="spellEnd"/>
      <w:r w:rsidR="007C3002" w:rsidRPr="00877903">
        <w:rPr>
          <w:rFonts w:ascii="Garamond" w:hAnsi="Garamond"/>
          <w:sz w:val="21"/>
          <w:szCs w:val="21"/>
        </w:rPr>
        <w:t xml:space="preserve"> – Head of the Officer for international cooperation</w:t>
      </w:r>
      <w:r w:rsidR="00C15C35" w:rsidRPr="00877903">
        <w:rPr>
          <w:rFonts w:ascii="Garamond" w:hAnsi="Garamond"/>
          <w:sz w:val="21"/>
          <w:szCs w:val="21"/>
        </w:rPr>
        <w:t>.</w:t>
      </w:r>
    </w:p>
    <w:p w:rsidR="007E6634" w:rsidRPr="00877903" w:rsidRDefault="007E6634" w:rsidP="00CE1A31">
      <w:pPr>
        <w:spacing w:after="9"/>
        <w:ind w:left="1"/>
        <w:rPr>
          <w:sz w:val="21"/>
          <w:szCs w:val="21"/>
        </w:rPr>
      </w:pPr>
    </w:p>
    <w:p w:rsidR="007E6634" w:rsidRDefault="007E6634" w:rsidP="00CE1A31">
      <w:pPr>
        <w:spacing w:after="9"/>
        <w:ind w:left="1"/>
      </w:pPr>
    </w:p>
    <w:p w:rsidR="007E6634" w:rsidRDefault="007E6634" w:rsidP="00CE1A31">
      <w:pPr>
        <w:spacing w:after="9"/>
        <w:ind w:left="1"/>
      </w:pPr>
      <w:r>
        <w:t>The Agenda of the study visit is as follows:</w:t>
      </w:r>
    </w:p>
    <w:tbl>
      <w:tblPr>
        <w:tblStyle w:val="TableGrid"/>
        <w:tblW w:w="9058" w:type="dxa"/>
        <w:tblInd w:w="6" w:type="dxa"/>
        <w:tblCellMar>
          <w:top w:w="70" w:type="dxa"/>
          <w:left w:w="107" w:type="dxa"/>
          <w:right w:w="54" w:type="dxa"/>
        </w:tblCellMar>
        <w:tblLook w:val="04A0" w:firstRow="1" w:lastRow="0" w:firstColumn="1" w:lastColumn="0" w:noHBand="0" w:noVBand="1"/>
      </w:tblPr>
      <w:tblGrid>
        <w:gridCol w:w="3793"/>
        <w:gridCol w:w="5265"/>
      </w:tblGrid>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b/>
                <w:sz w:val="20"/>
                <w:szCs w:val="20"/>
              </w:rPr>
              <w:t>Sunday, 31 March 2019</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rPr>
                <w:sz w:val="20"/>
                <w:szCs w:val="20"/>
              </w:rPr>
            </w:pPr>
            <w:r w:rsidRPr="002D5846">
              <w:rPr>
                <w:sz w:val="20"/>
                <w:szCs w:val="20"/>
              </w:rPr>
              <w:t xml:space="preserve"> </w:t>
            </w:r>
          </w:p>
        </w:tc>
      </w:tr>
      <w:tr w:rsidR="007E6634" w:rsidRPr="002D5846" w:rsidTr="00F72195">
        <w:trPr>
          <w:trHeight w:val="312"/>
        </w:trPr>
        <w:tc>
          <w:tcPr>
            <w:tcW w:w="3793"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rPr>
                <w:sz w:val="20"/>
                <w:szCs w:val="20"/>
              </w:rPr>
            </w:pPr>
            <w:r w:rsidRPr="002D5846">
              <w:rPr>
                <w:sz w:val="20"/>
                <w:szCs w:val="20"/>
              </w:rPr>
              <w:t xml:space="preserve"> </w:t>
            </w:r>
          </w:p>
        </w:tc>
        <w:tc>
          <w:tcPr>
            <w:tcW w:w="5265"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ind w:left="1"/>
              <w:rPr>
                <w:sz w:val="20"/>
                <w:szCs w:val="20"/>
              </w:rPr>
            </w:pPr>
            <w:r w:rsidRPr="002D5846">
              <w:rPr>
                <w:sz w:val="20"/>
                <w:szCs w:val="20"/>
              </w:rPr>
              <w:t>Arrival of the participants</w:t>
            </w:r>
            <w:r w:rsidRPr="002D5846">
              <w:rPr>
                <w:b/>
                <w:i/>
                <w:sz w:val="20"/>
                <w:szCs w:val="20"/>
              </w:rPr>
              <w:t xml:space="preserve"> </w:t>
            </w: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b/>
                <w:sz w:val="20"/>
                <w:szCs w:val="20"/>
              </w:rPr>
              <w:t>Monday, 1 April 2019</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rPr>
                <w:sz w:val="20"/>
                <w:szCs w:val="20"/>
              </w:rPr>
            </w:pPr>
            <w:r w:rsidRPr="002D5846">
              <w:rPr>
                <w:sz w:val="20"/>
                <w:szCs w:val="20"/>
              </w:rPr>
              <w:t xml:space="preserve"> </w:t>
            </w:r>
          </w:p>
        </w:tc>
      </w:tr>
      <w:tr w:rsidR="007E6634" w:rsidRPr="002D5846" w:rsidTr="00F72195">
        <w:trPr>
          <w:trHeight w:val="907"/>
        </w:trPr>
        <w:tc>
          <w:tcPr>
            <w:tcW w:w="3793"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rPr>
                <w:sz w:val="20"/>
                <w:szCs w:val="20"/>
              </w:rPr>
            </w:pPr>
            <w:r w:rsidRPr="002D5846">
              <w:rPr>
                <w:sz w:val="20"/>
                <w:szCs w:val="20"/>
              </w:rPr>
              <w:t>09.30 – 10.15</w:t>
            </w:r>
          </w:p>
        </w:tc>
        <w:tc>
          <w:tcPr>
            <w:tcW w:w="5265"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spacing w:after="2" w:line="265" w:lineRule="auto"/>
              <w:ind w:left="1"/>
              <w:rPr>
                <w:sz w:val="20"/>
                <w:szCs w:val="20"/>
              </w:rPr>
            </w:pPr>
            <w:r w:rsidRPr="002D5846">
              <w:rPr>
                <w:sz w:val="20"/>
                <w:szCs w:val="20"/>
              </w:rPr>
              <w:t>Welcome and presentation of the Faculty of Law University of Zagreb</w:t>
            </w:r>
          </w:p>
          <w:p w:rsidR="007E6634" w:rsidRPr="002D5846" w:rsidRDefault="007E6634" w:rsidP="00F72195">
            <w:pPr>
              <w:spacing w:after="2" w:line="265" w:lineRule="auto"/>
              <w:ind w:left="1"/>
              <w:rPr>
                <w:sz w:val="20"/>
                <w:szCs w:val="20"/>
              </w:rPr>
            </w:pPr>
            <w:r w:rsidRPr="002D5846">
              <w:rPr>
                <w:sz w:val="20"/>
                <w:szCs w:val="20"/>
              </w:rPr>
              <w:t xml:space="preserve">Dean Prof. dr. Igor </w:t>
            </w:r>
            <w:proofErr w:type="spellStart"/>
            <w:r w:rsidRPr="002D5846">
              <w:rPr>
                <w:sz w:val="20"/>
                <w:szCs w:val="20"/>
              </w:rPr>
              <w:t>Gliha</w:t>
            </w:r>
            <w:proofErr w:type="spellEnd"/>
          </w:p>
          <w:p w:rsidR="007E6634" w:rsidRPr="002D5846" w:rsidRDefault="007E6634" w:rsidP="00F72195">
            <w:pPr>
              <w:spacing w:after="2" w:line="265" w:lineRule="auto"/>
              <w:ind w:left="1"/>
              <w:rPr>
                <w:sz w:val="20"/>
                <w:szCs w:val="20"/>
              </w:rPr>
            </w:pPr>
            <w:r w:rsidRPr="002D5846">
              <w:rPr>
                <w:sz w:val="20"/>
                <w:szCs w:val="20"/>
              </w:rPr>
              <w:t xml:space="preserve">Vice dean Prof. </w:t>
            </w:r>
            <w:proofErr w:type="spellStart"/>
            <w:r w:rsidRPr="002D5846">
              <w:rPr>
                <w:sz w:val="20"/>
                <w:szCs w:val="20"/>
              </w:rPr>
              <w:t>dr</w:t>
            </w:r>
            <w:proofErr w:type="spellEnd"/>
            <w:r w:rsidRPr="002D5846">
              <w:rPr>
                <w:sz w:val="20"/>
                <w:szCs w:val="20"/>
              </w:rPr>
              <w:t xml:space="preserve"> Marko </w:t>
            </w:r>
            <w:proofErr w:type="spellStart"/>
            <w:r w:rsidRPr="002D5846">
              <w:rPr>
                <w:sz w:val="20"/>
                <w:szCs w:val="20"/>
              </w:rPr>
              <w:t>Jurić</w:t>
            </w:r>
            <w:proofErr w:type="spellEnd"/>
          </w:p>
          <w:p w:rsidR="007E6634" w:rsidRPr="002D5846" w:rsidRDefault="007E6634" w:rsidP="00F72195">
            <w:pPr>
              <w:spacing w:after="2" w:line="265" w:lineRule="auto"/>
              <w:ind w:left="1"/>
              <w:rPr>
                <w:sz w:val="20"/>
                <w:szCs w:val="20"/>
              </w:rPr>
            </w:pPr>
          </w:p>
          <w:p w:rsidR="007E6634" w:rsidRPr="002D5846" w:rsidRDefault="007E6634" w:rsidP="00F72195">
            <w:pPr>
              <w:spacing w:after="2" w:line="265" w:lineRule="auto"/>
              <w:ind w:left="1"/>
              <w:rPr>
                <w:sz w:val="20"/>
                <w:szCs w:val="20"/>
              </w:rPr>
            </w:pPr>
          </w:p>
        </w:tc>
      </w:tr>
      <w:tr w:rsidR="007E6634" w:rsidRPr="002D5846" w:rsidTr="00F72195">
        <w:trPr>
          <w:trHeight w:val="907"/>
        </w:trPr>
        <w:tc>
          <w:tcPr>
            <w:tcW w:w="3793"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rPr>
                <w:sz w:val="20"/>
                <w:szCs w:val="20"/>
              </w:rPr>
            </w:pPr>
            <w:r w:rsidRPr="002D5846">
              <w:rPr>
                <w:sz w:val="20"/>
                <w:szCs w:val="20"/>
              </w:rPr>
              <w:t>10.15 – 11.15</w:t>
            </w:r>
          </w:p>
        </w:tc>
        <w:tc>
          <w:tcPr>
            <w:tcW w:w="5265"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ind w:left="1" w:right="5"/>
              <w:rPr>
                <w:sz w:val="20"/>
                <w:szCs w:val="20"/>
              </w:rPr>
            </w:pPr>
            <w:r w:rsidRPr="002D5846">
              <w:rPr>
                <w:sz w:val="20"/>
                <w:szCs w:val="20"/>
              </w:rPr>
              <w:t>Teaching EU public law – experiences from teachers’ perspective + discussion</w:t>
            </w:r>
          </w:p>
          <w:p w:rsidR="007E6634" w:rsidRPr="002D5846" w:rsidRDefault="007E6634" w:rsidP="00F72195">
            <w:pPr>
              <w:ind w:left="1" w:right="5"/>
              <w:rPr>
                <w:sz w:val="20"/>
                <w:szCs w:val="20"/>
              </w:rPr>
            </w:pPr>
            <w:r w:rsidRPr="002D5846">
              <w:rPr>
                <w:sz w:val="20"/>
                <w:szCs w:val="20"/>
              </w:rPr>
              <w:t xml:space="preserve">Professor Dr. Iris </w:t>
            </w:r>
            <w:proofErr w:type="spellStart"/>
            <w:r w:rsidRPr="002D5846">
              <w:rPr>
                <w:sz w:val="20"/>
                <w:szCs w:val="20"/>
              </w:rPr>
              <w:t>Goldner</w:t>
            </w:r>
            <w:proofErr w:type="spellEnd"/>
            <w:r w:rsidRPr="002D5846">
              <w:rPr>
                <w:sz w:val="20"/>
                <w:szCs w:val="20"/>
              </w:rPr>
              <w:t xml:space="preserve"> Lang</w:t>
            </w:r>
          </w:p>
          <w:p w:rsidR="007E6634" w:rsidRPr="002D5846" w:rsidRDefault="007E6634" w:rsidP="00F72195">
            <w:pPr>
              <w:ind w:left="1" w:right="5"/>
              <w:rPr>
                <w:sz w:val="20"/>
                <w:szCs w:val="20"/>
              </w:rPr>
            </w:pPr>
            <w:r w:rsidRPr="002D5846">
              <w:rPr>
                <w:sz w:val="20"/>
                <w:szCs w:val="20"/>
              </w:rPr>
              <w:t xml:space="preserve">Assistant Professor Dr. </w:t>
            </w:r>
            <w:proofErr w:type="spellStart"/>
            <w:r w:rsidRPr="002D5846">
              <w:rPr>
                <w:sz w:val="20"/>
                <w:szCs w:val="20"/>
              </w:rPr>
              <w:t>Melita</w:t>
            </w:r>
            <w:proofErr w:type="spellEnd"/>
            <w:r w:rsidRPr="002D5846">
              <w:rPr>
                <w:sz w:val="20"/>
                <w:szCs w:val="20"/>
              </w:rPr>
              <w:t xml:space="preserve"> </w:t>
            </w:r>
            <w:proofErr w:type="spellStart"/>
            <w:r w:rsidRPr="002D5846">
              <w:rPr>
                <w:sz w:val="20"/>
                <w:szCs w:val="20"/>
              </w:rPr>
              <w:t>Carević</w:t>
            </w:r>
            <w:proofErr w:type="spellEnd"/>
          </w:p>
        </w:tc>
      </w:tr>
      <w:tr w:rsidR="007E6634" w:rsidRPr="002D5846" w:rsidTr="00F72195">
        <w:trPr>
          <w:trHeight w:val="298"/>
        </w:trPr>
        <w:tc>
          <w:tcPr>
            <w:tcW w:w="3793"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rPr>
                <w:sz w:val="20"/>
                <w:szCs w:val="20"/>
              </w:rPr>
            </w:pPr>
            <w:r w:rsidRPr="002D5846">
              <w:rPr>
                <w:sz w:val="20"/>
                <w:szCs w:val="20"/>
              </w:rPr>
              <w:t xml:space="preserve">11.15 – 12.30 </w:t>
            </w:r>
          </w:p>
        </w:tc>
        <w:tc>
          <w:tcPr>
            <w:tcW w:w="5265"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ind w:left="1"/>
              <w:jc w:val="both"/>
              <w:rPr>
                <w:sz w:val="20"/>
                <w:szCs w:val="20"/>
              </w:rPr>
            </w:pPr>
            <w:r w:rsidRPr="002D5846">
              <w:rPr>
                <w:sz w:val="20"/>
                <w:szCs w:val="20"/>
              </w:rPr>
              <w:t>Lecture European public law</w:t>
            </w:r>
          </w:p>
        </w:tc>
      </w:tr>
      <w:tr w:rsidR="007E6634" w:rsidRPr="002D5846" w:rsidTr="00F72195">
        <w:trPr>
          <w:trHeight w:val="610"/>
        </w:trPr>
        <w:tc>
          <w:tcPr>
            <w:tcW w:w="3793"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rPr>
                <w:sz w:val="20"/>
                <w:szCs w:val="20"/>
              </w:rPr>
            </w:pPr>
            <w:r w:rsidRPr="002D5846">
              <w:rPr>
                <w:sz w:val="20"/>
                <w:szCs w:val="20"/>
              </w:rPr>
              <w:t>12.30 – 14.00</w:t>
            </w:r>
          </w:p>
        </w:tc>
        <w:tc>
          <w:tcPr>
            <w:tcW w:w="5265" w:type="dxa"/>
            <w:tcBorders>
              <w:top w:val="single" w:sz="4" w:space="0" w:color="000000"/>
              <w:left w:val="single" w:sz="4" w:space="0" w:color="000000"/>
              <w:bottom w:val="single" w:sz="4" w:space="0" w:color="000000"/>
              <w:right w:val="single" w:sz="4" w:space="0" w:color="000000"/>
            </w:tcBorders>
          </w:tcPr>
          <w:p w:rsidR="007E6634" w:rsidRPr="002D5846" w:rsidRDefault="007E6634" w:rsidP="00F72195">
            <w:pPr>
              <w:spacing w:after="9"/>
              <w:ind w:left="1"/>
              <w:rPr>
                <w:sz w:val="20"/>
                <w:szCs w:val="20"/>
              </w:rPr>
            </w:pPr>
            <w:r w:rsidRPr="002D5846">
              <w:rPr>
                <w:sz w:val="20"/>
                <w:szCs w:val="20"/>
              </w:rPr>
              <w:t xml:space="preserve">E-learning system Moodle: presentation by Assistant Professor Dr. Ivana </w:t>
            </w:r>
            <w:proofErr w:type="spellStart"/>
            <w:r w:rsidRPr="002D5846">
              <w:rPr>
                <w:sz w:val="20"/>
                <w:szCs w:val="20"/>
              </w:rPr>
              <w:t>Kanceljak</w:t>
            </w:r>
            <w:proofErr w:type="spellEnd"/>
            <w:r w:rsidRPr="002D5846">
              <w:rPr>
                <w:sz w:val="20"/>
                <w:szCs w:val="20"/>
              </w:rPr>
              <w:t>, coordinator for e-learning at the Faculty of Law</w:t>
            </w: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b/>
                <w:sz w:val="20"/>
                <w:szCs w:val="20"/>
              </w:rPr>
            </w:pPr>
          </w:p>
          <w:p w:rsidR="007E6634" w:rsidRPr="002D5846" w:rsidRDefault="007E6634" w:rsidP="00F72195">
            <w:pPr>
              <w:rPr>
                <w:b/>
                <w:sz w:val="20"/>
                <w:szCs w:val="20"/>
              </w:rPr>
            </w:pPr>
            <w:r w:rsidRPr="002D5846">
              <w:rPr>
                <w:b/>
                <w:sz w:val="20"/>
                <w:szCs w:val="20"/>
              </w:rPr>
              <w:t>Tuesday, 2 April 2019</w:t>
            </w:r>
          </w:p>
          <w:p w:rsidR="007E6634" w:rsidRPr="002D5846" w:rsidRDefault="007E6634" w:rsidP="00F72195">
            <w:pPr>
              <w:rPr>
                <w:sz w:val="20"/>
                <w:szCs w:val="20"/>
              </w:rPr>
            </w:pP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rPr>
                <w:sz w:val="20"/>
                <w:szCs w:val="20"/>
              </w:rPr>
            </w:pP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 xml:space="preserve">10.00 – 11.30 </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spacing w:after="2" w:line="265" w:lineRule="auto"/>
              <w:ind w:left="1"/>
              <w:rPr>
                <w:sz w:val="20"/>
                <w:szCs w:val="20"/>
              </w:rPr>
            </w:pPr>
            <w:r w:rsidRPr="002D5846">
              <w:rPr>
                <w:sz w:val="20"/>
                <w:szCs w:val="20"/>
              </w:rPr>
              <w:t xml:space="preserve">Criminal law in the EU legal system – Professor Dr. </w:t>
            </w:r>
            <w:proofErr w:type="spellStart"/>
            <w:r w:rsidRPr="002D5846">
              <w:rPr>
                <w:sz w:val="20"/>
                <w:szCs w:val="20"/>
              </w:rPr>
              <w:t>Maja</w:t>
            </w:r>
            <w:proofErr w:type="spellEnd"/>
            <w:r w:rsidRPr="002D5846">
              <w:rPr>
                <w:sz w:val="20"/>
                <w:szCs w:val="20"/>
              </w:rPr>
              <w:t xml:space="preserve"> </w:t>
            </w:r>
            <w:proofErr w:type="spellStart"/>
            <w:r w:rsidRPr="002D5846">
              <w:rPr>
                <w:sz w:val="20"/>
                <w:szCs w:val="20"/>
              </w:rPr>
              <w:t>Munivrana</w:t>
            </w:r>
            <w:proofErr w:type="spellEnd"/>
            <w:r w:rsidRPr="002D5846">
              <w:rPr>
                <w:sz w:val="20"/>
                <w:szCs w:val="20"/>
              </w:rPr>
              <w:t xml:space="preserve"> </w:t>
            </w:r>
            <w:proofErr w:type="spellStart"/>
            <w:r w:rsidRPr="002D5846">
              <w:rPr>
                <w:sz w:val="20"/>
                <w:szCs w:val="20"/>
              </w:rPr>
              <w:t>Vajda</w:t>
            </w:r>
            <w:proofErr w:type="spellEnd"/>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11.30 – 12.15</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right="5"/>
              <w:rPr>
                <w:sz w:val="20"/>
                <w:szCs w:val="20"/>
              </w:rPr>
            </w:pPr>
            <w:r w:rsidRPr="002D5846">
              <w:rPr>
                <w:sz w:val="20"/>
                <w:szCs w:val="20"/>
              </w:rPr>
              <w:t xml:space="preserve">Teaching process and modular system of teaching at the Faculty of Law – Dr. Marko </w:t>
            </w:r>
            <w:proofErr w:type="spellStart"/>
            <w:r w:rsidRPr="002D5846">
              <w:rPr>
                <w:sz w:val="20"/>
                <w:szCs w:val="20"/>
              </w:rPr>
              <w:t>Jurić</w:t>
            </w:r>
            <w:proofErr w:type="spellEnd"/>
            <w:r w:rsidRPr="002D5846">
              <w:rPr>
                <w:sz w:val="20"/>
                <w:szCs w:val="20"/>
              </w:rPr>
              <w:t>, vice dean</w:t>
            </w: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 xml:space="preserve">12.30 – 14.00 </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jc w:val="both"/>
              <w:rPr>
                <w:sz w:val="20"/>
                <w:szCs w:val="20"/>
              </w:rPr>
            </w:pPr>
            <w:r w:rsidRPr="002D5846">
              <w:rPr>
                <w:sz w:val="20"/>
                <w:szCs w:val="20"/>
              </w:rPr>
              <w:t xml:space="preserve">Presentation of the practical dimension of study </w:t>
            </w:r>
            <w:proofErr w:type="spellStart"/>
            <w:r w:rsidRPr="002D5846">
              <w:rPr>
                <w:sz w:val="20"/>
                <w:szCs w:val="20"/>
              </w:rPr>
              <w:t>programme</w:t>
            </w:r>
            <w:proofErr w:type="spellEnd"/>
            <w:r w:rsidRPr="002D5846">
              <w:rPr>
                <w:sz w:val="20"/>
                <w:szCs w:val="20"/>
              </w:rPr>
              <w:t xml:space="preserve"> (legal clinics, moot courts etc.)</w:t>
            </w:r>
          </w:p>
          <w:p w:rsidR="007E6634" w:rsidRPr="002D5846" w:rsidRDefault="007E6634" w:rsidP="00F72195">
            <w:pPr>
              <w:ind w:left="1"/>
              <w:jc w:val="both"/>
              <w:rPr>
                <w:sz w:val="20"/>
                <w:szCs w:val="20"/>
              </w:rPr>
            </w:pPr>
            <w:r w:rsidRPr="002D5846">
              <w:rPr>
                <w:sz w:val="20"/>
                <w:szCs w:val="20"/>
              </w:rPr>
              <w:t xml:space="preserve">Professor Dr. Alan </w:t>
            </w:r>
            <w:proofErr w:type="spellStart"/>
            <w:r w:rsidRPr="002D5846">
              <w:rPr>
                <w:sz w:val="20"/>
                <w:szCs w:val="20"/>
              </w:rPr>
              <w:t>Uzelac</w:t>
            </w:r>
            <w:proofErr w:type="spellEnd"/>
          </w:p>
          <w:p w:rsidR="007E6634" w:rsidRPr="002D5846" w:rsidRDefault="007E6634" w:rsidP="00F72195">
            <w:pPr>
              <w:ind w:left="1"/>
              <w:jc w:val="both"/>
              <w:rPr>
                <w:sz w:val="20"/>
                <w:szCs w:val="20"/>
              </w:rPr>
            </w:pPr>
            <w:r w:rsidRPr="002D5846">
              <w:rPr>
                <w:sz w:val="20"/>
                <w:szCs w:val="20"/>
              </w:rPr>
              <w:t xml:space="preserve">Professor Dr. </w:t>
            </w:r>
            <w:proofErr w:type="spellStart"/>
            <w:r w:rsidRPr="002D5846">
              <w:rPr>
                <w:sz w:val="20"/>
                <w:szCs w:val="20"/>
              </w:rPr>
              <w:t>Zlata</w:t>
            </w:r>
            <w:proofErr w:type="spellEnd"/>
            <w:r w:rsidRPr="002D5846">
              <w:rPr>
                <w:sz w:val="20"/>
                <w:szCs w:val="20"/>
              </w:rPr>
              <w:t xml:space="preserve"> </w:t>
            </w:r>
            <w:proofErr w:type="spellStart"/>
            <w:r w:rsidRPr="002D5846">
              <w:rPr>
                <w:sz w:val="20"/>
                <w:szCs w:val="20"/>
              </w:rPr>
              <w:t>Đurđević</w:t>
            </w:r>
            <w:proofErr w:type="spellEnd"/>
          </w:p>
          <w:p w:rsidR="007E6634" w:rsidRPr="002D5846" w:rsidRDefault="007E6634" w:rsidP="00F72195">
            <w:pPr>
              <w:ind w:left="1"/>
              <w:jc w:val="both"/>
              <w:rPr>
                <w:sz w:val="20"/>
                <w:szCs w:val="20"/>
              </w:rPr>
            </w:pPr>
            <w:r w:rsidRPr="002D5846">
              <w:rPr>
                <w:sz w:val="20"/>
                <w:szCs w:val="20"/>
              </w:rPr>
              <w:t xml:space="preserve">Professor Dr. Marko </w:t>
            </w:r>
            <w:proofErr w:type="spellStart"/>
            <w:r w:rsidRPr="002D5846">
              <w:rPr>
                <w:sz w:val="20"/>
                <w:szCs w:val="20"/>
              </w:rPr>
              <w:t>Jurić</w:t>
            </w:r>
            <w:proofErr w:type="spellEnd"/>
          </w:p>
          <w:p w:rsidR="007E6634" w:rsidRPr="002D5846" w:rsidRDefault="007E6634" w:rsidP="00F72195">
            <w:pPr>
              <w:ind w:left="1"/>
              <w:jc w:val="both"/>
              <w:rPr>
                <w:sz w:val="20"/>
                <w:szCs w:val="20"/>
              </w:rPr>
            </w:pPr>
            <w:r w:rsidRPr="002D5846">
              <w:rPr>
                <w:sz w:val="20"/>
                <w:szCs w:val="20"/>
              </w:rPr>
              <w:t xml:space="preserve">Assistant </w:t>
            </w:r>
            <w:proofErr w:type="spellStart"/>
            <w:r w:rsidRPr="002D5846">
              <w:rPr>
                <w:sz w:val="20"/>
                <w:szCs w:val="20"/>
              </w:rPr>
              <w:t>Antonija</w:t>
            </w:r>
            <w:proofErr w:type="spellEnd"/>
            <w:r w:rsidRPr="002D5846">
              <w:rPr>
                <w:sz w:val="20"/>
                <w:szCs w:val="20"/>
              </w:rPr>
              <w:t xml:space="preserve"> </w:t>
            </w:r>
            <w:proofErr w:type="spellStart"/>
            <w:r w:rsidRPr="002D5846">
              <w:rPr>
                <w:sz w:val="20"/>
                <w:szCs w:val="20"/>
              </w:rPr>
              <w:t>Ivančan</w:t>
            </w:r>
            <w:proofErr w:type="spellEnd"/>
          </w:p>
          <w:p w:rsidR="007E6634" w:rsidRPr="002D5846" w:rsidRDefault="007E6634" w:rsidP="00F72195">
            <w:pPr>
              <w:ind w:left="1"/>
              <w:jc w:val="both"/>
              <w:rPr>
                <w:sz w:val="20"/>
                <w:szCs w:val="20"/>
              </w:rPr>
            </w:pP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b/>
                <w:sz w:val="20"/>
                <w:szCs w:val="20"/>
              </w:rPr>
            </w:pPr>
          </w:p>
          <w:p w:rsidR="007E6634" w:rsidRPr="002D5846" w:rsidRDefault="007E6634" w:rsidP="00F72195">
            <w:pPr>
              <w:rPr>
                <w:b/>
                <w:sz w:val="20"/>
                <w:szCs w:val="20"/>
              </w:rPr>
            </w:pPr>
            <w:r w:rsidRPr="002D5846">
              <w:rPr>
                <w:b/>
                <w:sz w:val="20"/>
                <w:szCs w:val="20"/>
              </w:rPr>
              <w:t>Wednesday, 3 April 2019</w:t>
            </w:r>
          </w:p>
          <w:p w:rsidR="007E6634" w:rsidRPr="002D5846" w:rsidRDefault="007E6634" w:rsidP="00F72195">
            <w:pPr>
              <w:rPr>
                <w:b/>
                <w:sz w:val="20"/>
                <w:szCs w:val="20"/>
              </w:rPr>
            </w:pP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spacing w:after="9"/>
              <w:rPr>
                <w:sz w:val="20"/>
                <w:szCs w:val="20"/>
              </w:rPr>
            </w:pP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10.00 – 11.30</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right="5"/>
              <w:rPr>
                <w:sz w:val="20"/>
                <w:szCs w:val="20"/>
              </w:rPr>
            </w:pPr>
            <w:r w:rsidRPr="002D5846">
              <w:rPr>
                <w:sz w:val="20"/>
                <w:szCs w:val="20"/>
              </w:rPr>
              <w:t xml:space="preserve">EU law and Constitutional Law – Professor Dr. Ana </w:t>
            </w:r>
            <w:proofErr w:type="spellStart"/>
            <w:r w:rsidRPr="002D5846">
              <w:rPr>
                <w:sz w:val="20"/>
                <w:szCs w:val="20"/>
              </w:rPr>
              <w:t>Horvat</w:t>
            </w:r>
            <w:proofErr w:type="spellEnd"/>
            <w:r w:rsidRPr="002D5846">
              <w:rPr>
                <w:sz w:val="20"/>
                <w:szCs w:val="20"/>
              </w:rPr>
              <w:t xml:space="preserve"> </w:t>
            </w:r>
            <w:proofErr w:type="spellStart"/>
            <w:r w:rsidRPr="002D5846">
              <w:rPr>
                <w:sz w:val="20"/>
                <w:szCs w:val="20"/>
              </w:rPr>
              <w:t>Vuković</w:t>
            </w:r>
            <w:proofErr w:type="spellEnd"/>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 xml:space="preserve">11.30 – 12.30 </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ind w:left="1"/>
              <w:jc w:val="both"/>
              <w:rPr>
                <w:sz w:val="20"/>
                <w:szCs w:val="20"/>
              </w:rPr>
            </w:pPr>
            <w:r w:rsidRPr="002D5846">
              <w:rPr>
                <w:sz w:val="20"/>
                <w:szCs w:val="20"/>
              </w:rPr>
              <w:t>Presentation of the Library of the Faculty of Law</w:t>
            </w:r>
          </w:p>
          <w:p w:rsidR="007E6634" w:rsidRPr="002D5846" w:rsidRDefault="007E6634" w:rsidP="00F72195">
            <w:pPr>
              <w:ind w:left="1"/>
              <w:jc w:val="both"/>
              <w:rPr>
                <w:sz w:val="20"/>
                <w:szCs w:val="20"/>
              </w:rPr>
            </w:pPr>
            <w:r w:rsidRPr="002D5846">
              <w:rPr>
                <w:sz w:val="20"/>
                <w:szCs w:val="20"/>
              </w:rPr>
              <w:t xml:space="preserve">Dr. Andrea </w:t>
            </w:r>
            <w:proofErr w:type="spellStart"/>
            <w:r w:rsidRPr="002D5846">
              <w:rPr>
                <w:sz w:val="20"/>
                <w:szCs w:val="20"/>
              </w:rPr>
              <w:t>Horić</w:t>
            </w:r>
            <w:proofErr w:type="spellEnd"/>
            <w:r w:rsidRPr="002D5846">
              <w:rPr>
                <w:sz w:val="20"/>
                <w:szCs w:val="20"/>
              </w:rPr>
              <w:t>, Head of the Library</w:t>
            </w: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sz w:val="20"/>
                <w:szCs w:val="20"/>
              </w:rPr>
            </w:pPr>
            <w:r w:rsidRPr="002D5846">
              <w:rPr>
                <w:sz w:val="20"/>
                <w:szCs w:val="20"/>
              </w:rPr>
              <w:t>12.30 – 14.00</w:t>
            </w: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spacing w:after="9"/>
              <w:ind w:left="1"/>
              <w:rPr>
                <w:sz w:val="20"/>
                <w:szCs w:val="20"/>
              </w:rPr>
            </w:pPr>
            <w:r w:rsidRPr="002D5846">
              <w:rPr>
                <w:sz w:val="20"/>
                <w:szCs w:val="20"/>
              </w:rPr>
              <w:t>International cooperation and courses in foreign languages - presentation</w:t>
            </w:r>
          </w:p>
          <w:p w:rsidR="007E6634" w:rsidRPr="002D5846" w:rsidRDefault="007E6634" w:rsidP="00F72195">
            <w:pPr>
              <w:spacing w:after="9"/>
              <w:ind w:left="1"/>
              <w:rPr>
                <w:sz w:val="20"/>
                <w:szCs w:val="20"/>
              </w:rPr>
            </w:pPr>
            <w:r w:rsidRPr="002D5846">
              <w:rPr>
                <w:sz w:val="20"/>
                <w:szCs w:val="20"/>
              </w:rPr>
              <w:t xml:space="preserve">Professor Dr. Nina </w:t>
            </w:r>
            <w:proofErr w:type="spellStart"/>
            <w:r w:rsidRPr="002D5846">
              <w:rPr>
                <w:sz w:val="20"/>
                <w:szCs w:val="20"/>
              </w:rPr>
              <w:t>Tepeš</w:t>
            </w:r>
            <w:proofErr w:type="spellEnd"/>
            <w:r w:rsidRPr="002D5846">
              <w:rPr>
                <w:sz w:val="20"/>
                <w:szCs w:val="20"/>
              </w:rPr>
              <w:t xml:space="preserve"> – vice dean for international cooperation</w:t>
            </w:r>
          </w:p>
          <w:p w:rsidR="007E6634" w:rsidRPr="002D5846" w:rsidRDefault="007E6634" w:rsidP="00F72195">
            <w:pPr>
              <w:spacing w:after="9"/>
              <w:ind w:left="1"/>
              <w:rPr>
                <w:sz w:val="20"/>
                <w:szCs w:val="20"/>
              </w:rPr>
            </w:pPr>
            <w:r w:rsidRPr="002D5846">
              <w:rPr>
                <w:sz w:val="20"/>
                <w:szCs w:val="20"/>
              </w:rPr>
              <w:t xml:space="preserve">Assistant professor Dr. Marko </w:t>
            </w:r>
            <w:proofErr w:type="spellStart"/>
            <w:r w:rsidRPr="002D5846">
              <w:rPr>
                <w:sz w:val="20"/>
                <w:szCs w:val="20"/>
              </w:rPr>
              <w:t>Jurić</w:t>
            </w:r>
            <w:proofErr w:type="spellEnd"/>
            <w:r w:rsidRPr="002D5846">
              <w:rPr>
                <w:sz w:val="20"/>
                <w:szCs w:val="20"/>
              </w:rPr>
              <w:t xml:space="preserve"> – vice dean for students</w:t>
            </w:r>
          </w:p>
          <w:p w:rsidR="007E6634" w:rsidRPr="002D5846" w:rsidRDefault="007E6634" w:rsidP="002D5846">
            <w:pPr>
              <w:spacing w:after="9"/>
              <w:ind w:left="1"/>
              <w:rPr>
                <w:sz w:val="20"/>
                <w:szCs w:val="20"/>
              </w:rPr>
            </w:pPr>
            <w:r w:rsidRPr="002D5846">
              <w:rPr>
                <w:sz w:val="20"/>
                <w:szCs w:val="20"/>
              </w:rPr>
              <w:t xml:space="preserve">Andrea </w:t>
            </w:r>
            <w:proofErr w:type="spellStart"/>
            <w:r w:rsidRPr="002D5846">
              <w:rPr>
                <w:sz w:val="20"/>
                <w:szCs w:val="20"/>
              </w:rPr>
              <w:t>Mišković</w:t>
            </w:r>
            <w:proofErr w:type="spellEnd"/>
            <w:r w:rsidRPr="002D5846">
              <w:rPr>
                <w:sz w:val="20"/>
                <w:szCs w:val="20"/>
              </w:rPr>
              <w:t xml:space="preserve"> – Head of the Officer for international cooperation</w:t>
            </w:r>
          </w:p>
          <w:p w:rsidR="007E6634" w:rsidRPr="002D5846" w:rsidRDefault="007E6634" w:rsidP="00F72195">
            <w:pPr>
              <w:spacing w:after="9"/>
              <w:ind w:left="1"/>
              <w:rPr>
                <w:sz w:val="20"/>
                <w:szCs w:val="20"/>
              </w:rPr>
            </w:pPr>
          </w:p>
        </w:tc>
      </w:tr>
      <w:tr w:rsidR="007E6634" w:rsidRPr="002D5846" w:rsidTr="00F72195">
        <w:trPr>
          <w:trHeight w:val="307"/>
        </w:trPr>
        <w:tc>
          <w:tcPr>
            <w:tcW w:w="3793"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rPr>
                <w:b/>
                <w:sz w:val="20"/>
                <w:szCs w:val="20"/>
              </w:rPr>
            </w:pPr>
          </w:p>
          <w:p w:rsidR="007E6634" w:rsidRPr="002D5846" w:rsidRDefault="007E6634" w:rsidP="00F72195">
            <w:pPr>
              <w:rPr>
                <w:b/>
                <w:sz w:val="20"/>
                <w:szCs w:val="20"/>
              </w:rPr>
            </w:pPr>
            <w:r w:rsidRPr="002D5846">
              <w:rPr>
                <w:b/>
                <w:sz w:val="20"/>
                <w:szCs w:val="20"/>
              </w:rPr>
              <w:t>Thursday, 4 April 2019</w:t>
            </w:r>
          </w:p>
          <w:p w:rsidR="007E6634" w:rsidRPr="002D5846" w:rsidRDefault="007E6634" w:rsidP="00F72195">
            <w:pPr>
              <w:rPr>
                <w:b/>
                <w:sz w:val="20"/>
                <w:szCs w:val="20"/>
              </w:rPr>
            </w:pPr>
          </w:p>
        </w:tc>
        <w:tc>
          <w:tcPr>
            <w:tcW w:w="5265" w:type="dxa"/>
            <w:tcBorders>
              <w:top w:val="single" w:sz="4" w:space="0" w:color="000000"/>
              <w:left w:val="single" w:sz="4" w:space="0" w:color="000000"/>
              <w:bottom w:val="single" w:sz="4" w:space="0" w:color="000000"/>
              <w:right w:val="single" w:sz="4" w:space="0" w:color="000000"/>
            </w:tcBorders>
            <w:shd w:val="clear" w:color="auto" w:fill="DBE4F0"/>
          </w:tcPr>
          <w:p w:rsidR="007E6634" w:rsidRPr="002D5846" w:rsidRDefault="007E6634" w:rsidP="00F72195">
            <w:pPr>
              <w:spacing w:after="9"/>
              <w:rPr>
                <w:sz w:val="20"/>
                <w:szCs w:val="20"/>
              </w:rPr>
            </w:pPr>
            <w:r w:rsidRPr="002D5846">
              <w:rPr>
                <w:sz w:val="20"/>
                <w:szCs w:val="20"/>
              </w:rPr>
              <w:t xml:space="preserve"> </w:t>
            </w:r>
          </w:p>
          <w:p w:rsidR="007E6634" w:rsidRPr="002D5846" w:rsidRDefault="007E6634" w:rsidP="00F72195">
            <w:pPr>
              <w:spacing w:after="9"/>
              <w:rPr>
                <w:sz w:val="20"/>
                <w:szCs w:val="20"/>
              </w:rPr>
            </w:pPr>
            <w:r w:rsidRPr="002D5846">
              <w:rPr>
                <w:sz w:val="20"/>
                <w:szCs w:val="20"/>
              </w:rPr>
              <w:t>Departure</w:t>
            </w:r>
          </w:p>
        </w:tc>
      </w:tr>
    </w:tbl>
    <w:p w:rsidR="007E6634" w:rsidRDefault="007E6634" w:rsidP="00CE1A31">
      <w:pPr>
        <w:spacing w:after="9"/>
        <w:ind w:left="1"/>
      </w:pPr>
    </w:p>
    <w:p w:rsidR="00CE1A31" w:rsidRDefault="00CE1A31" w:rsidP="00CE1A31">
      <w:pPr>
        <w:ind w:left="1"/>
        <w:jc w:val="both"/>
      </w:pPr>
    </w:p>
    <w:p w:rsidR="001055CA" w:rsidRDefault="001055CA" w:rsidP="001055CA">
      <w:pPr>
        <w:spacing w:after="0"/>
      </w:pPr>
    </w:p>
    <w:sectPr w:rsidR="001055CA">
      <w:footerReference w:type="even" r:id="rId11"/>
      <w:footerReference w:type="default" r:id="rId12"/>
      <w:footerReference w:type="first" r:id="rId13"/>
      <w:pgSz w:w="11906" w:h="16838"/>
      <w:pgMar w:top="1134" w:right="2078" w:bottom="1271" w:left="1418"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19" w:rsidRDefault="00D34C19">
      <w:pPr>
        <w:spacing w:after="0" w:line="240" w:lineRule="auto"/>
      </w:pPr>
      <w:r>
        <w:separator/>
      </w:r>
    </w:p>
  </w:endnote>
  <w:endnote w:type="continuationSeparator" w:id="0">
    <w:p w:rsidR="00D34C19" w:rsidRDefault="00D3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F7" w:rsidRDefault="00910CB1">
    <w:pPr>
      <w:spacing w:after="0"/>
      <w:ind w:right="-662"/>
      <w:jc w:val="right"/>
    </w:pPr>
    <w:r>
      <w:fldChar w:fldCharType="begin"/>
    </w:r>
    <w:r>
      <w:instrText xml:space="preserve"> PAGE   \* MERGEFORMAT </w:instrText>
    </w:r>
    <w:r>
      <w:fldChar w:fldCharType="separate"/>
    </w:r>
    <w:r>
      <w:t>1</w:t>
    </w:r>
    <w:r>
      <w:fldChar w:fldCharType="end"/>
    </w:r>
    <w:r>
      <w:t xml:space="preserve"> </w:t>
    </w:r>
  </w:p>
  <w:p w:rsidR="00526FF7" w:rsidRDefault="00910CB1">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F7" w:rsidRDefault="00910CB1">
    <w:pPr>
      <w:spacing w:after="0"/>
      <w:ind w:right="-662"/>
      <w:jc w:val="right"/>
    </w:pPr>
    <w:r>
      <w:fldChar w:fldCharType="begin"/>
    </w:r>
    <w:r>
      <w:instrText xml:space="preserve"> PAGE   \* MERGEFORMAT </w:instrText>
    </w:r>
    <w:r>
      <w:fldChar w:fldCharType="separate"/>
    </w:r>
    <w:r w:rsidR="00320B50">
      <w:rPr>
        <w:noProof/>
      </w:rPr>
      <w:t>1</w:t>
    </w:r>
    <w:r>
      <w:fldChar w:fldCharType="end"/>
    </w:r>
    <w:r>
      <w:t xml:space="preserve"> </w:t>
    </w:r>
  </w:p>
  <w:p w:rsidR="00526FF7" w:rsidRDefault="00910CB1">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F7" w:rsidRDefault="00910CB1">
    <w:pPr>
      <w:spacing w:after="0"/>
      <w:ind w:right="-662"/>
      <w:jc w:val="right"/>
    </w:pPr>
    <w:r>
      <w:fldChar w:fldCharType="begin"/>
    </w:r>
    <w:r>
      <w:instrText xml:space="preserve"> PAGE   \* MERGEFORMAT </w:instrText>
    </w:r>
    <w:r>
      <w:fldChar w:fldCharType="separate"/>
    </w:r>
    <w:r>
      <w:t>1</w:t>
    </w:r>
    <w:r>
      <w:fldChar w:fldCharType="end"/>
    </w:r>
    <w:r>
      <w:t xml:space="preserve"> </w:t>
    </w:r>
  </w:p>
  <w:p w:rsidR="00526FF7" w:rsidRDefault="00910CB1">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19" w:rsidRDefault="00D34C19">
      <w:pPr>
        <w:spacing w:after="0" w:line="240" w:lineRule="auto"/>
      </w:pPr>
      <w:r>
        <w:separator/>
      </w:r>
    </w:p>
  </w:footnote>
  <w:footnote w:type="continuationSeparator" w:id="0">
    <w:p w:rsidR="00D34C19" w:rsidRDefault="00D34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C7C"/>
    <w:multiLevelType w:val="hybridMultilevel"/>
    <w:tmpl w:val="08BC778A"/>
    <w:lvl w:ilvl="0" w:tplc="CCB27020">
      <w:start w:val="11"/>
      <w:numFmt w:val="bullet"/>
      <w:lvlText w:val="-"/>
      <w:lvlJc w:val="left"/>
      <w:pPr>
        <w:ind w:left="362" w:hanging="360"/>
      </w:pPr>
      <w:rPr>
        <w:rFonts w:ascii="Calibri" w:eastAsia="Calibri" w:hAnsi="Calibri" w:cs="Calibri"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nsid w:val="33B740D0"/>
    <w:multiLevelType w:val="hybridMultilevel"/>
    <w:tmpl w:val="5C34991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7B431801"/>
    <w:multiLevelType w:val="hybridMultilevel"/>
    <w:tmpl w:val="ABAEAF10"/>
    <w:lvl w:ilvl="0" w:tplc="405C5E80">
      <w:start w:val="11"/>
      <w:numFmt w:val="bullet"/>
      <w:lvlText w:val="-"/>
      <w:lvlJc w:val="left"/>
      <w:pPr>
        <w:ind w:left="362" w:hanging="360"/>
      </w:pPr>
      <w:rPr>
        <w:rFonts w:ascii="Calibri" w:eastAsia="Calibri" w:hAnsi="Calibri" w:cs="Calibri"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F7"/>
    <w:rsid w:val="00023DE4"/>
    <w:rsid w:val="000E5AE0"/>
    <w:rsid w:val="000F0F33"/>
    <w:rsid w:val="00100B35"/>
    <w:rsid w:val="001055CA"/>
    <w:rsid w:val="00115C8A"/>
    <w:rsid w:val="00137C0F"/>
    <w:rsid w:val="001442D1"/>
    <w:rsid w:val="001879F0"/>
    <w:rsid w:val="001C7A1B"/>
    <w:rsid w:val="001D7755"/>
    <w:rsid w:val="001F3FE3"/>
    <w:rsid w:val="0022488D"/>
    <w:rsid w:val="00251CB7"/>
    <w:rsid w:val="002943B8"/>
    <w:rsid w:val="002B5672"/>
    <w:rsid w:val="002C77FC"/>
    <w:rsid w:val="002D5846"/>
    <w:rsid w:val="002E0E86"/>
    <w:rsid w:val="002E41B7"/>
    <w:rsid w:val="002E44D0"/>
    <w:rsid w:val="0031127F"/>
    <w:rsid w:val="00316427"/>
    <w:rsid w:val="00320B50"/>
    <w:rsid w:val="0034016D"/>
    <w:rsid w:val="00350683"/>
    <w:rsid w:val="003B7A88"/>
    <w:rsid w:val="0041432E"/>
    <w:rsid w:val="00453948"/>
    <w:rsid w:val="00454984"/>
    <w:rsid w:val="00481224"/>
    <w:rsid w:val="00494D8B"/>
    <w:rsid w:val="004950A4"/>
    <w:rsid w:val="004B354F"/>
    <w:rsid w:val="004C074E"/>
    <w:rsid w:val="004C0F1A"/>
    <w:rsid w:val="004D3C20"/>
    <w:rsid w:val="00521156"/>
    <w:rsid w:val="00526FF7"/>
    <w:rsid w:val="00533BD2"/>
    <w:rsid w:val="00534A23"/>
    <w:rsid w:val="005564A5"/>
    <w:rsid w:val="00595DA0"/>
    <w:rsid w:val="005A63EE"/>
    <w:rsid w:val="005C70B9"/>
    <w:rsid w:val="005C75C8"/>
    <w:rsid w:val="00625AD1"/>
    <w:rsid w:val="00626FE6"/>
    <w:rsid w:val="00630399"/>
    <w:rsid w:val="006366FF"/>
    <w:rsid w:val="00636D76"/>
    <w:rsid w:val="006443F0"/>
    <w:rsid w:val="00676F01"/>
    <w:rsid w:val="006B2B83"/>
    <w:rsid w:val="006F5DBC"/>
    <w:rsid w:val="00733C2A"/>
    <w:rsid w:val="00734084"/>
    <w:rsid w:val="00763FD1"/>
    <w:rsid w:val="007A7570"/>
    <w:rsid w:val="007B22CC"/>
    <w:rsid w:val="007C3002"/>
    <w:rsid w:val="007C402A"/>
    <w:rsid w:val="007D340A"/>
    <w:rsid w:val="007D34F5"/>
    <w:rsid w:val="007D35A0"/>
    <w:rsid w:val="007E6004"/>
    <w:rsid w:val="007E6634"/>
    <w:rsid w:val="007F52E6"/>
    <w:rsid w:val="00861802"/>
    <w:rsid w:val="00877903"/>
    <w:rsid w:val="008A0793"/>
    <w:rsid w:val="008B5FBB"/>
    <w:rsid w:val="00910CB1"/>
    <w:rsid w:val="009163AB"/>
    <w:rsid w:val="0093499D"/>
    <w:rsid w:val="00955925"/>
    <w:rsid w:val="00984747"/>
    <w:rsid w:val="00997599"/>
    <w:rsid w:val="009B18BF"/>
    <w:rsid w:val="009B630E"/>
    <w:rsid w:val="009D338B"/>
    <w:rsid w:val="009D55F2"/>
    <w:rsid w:val="009F49AE"/>
    <w:rsid w:val="00A052BF"/>
    <w:rsid w:val="00A1147A"/>
    <w:rsid w:val="00A14B20"/>
    <w:rsid w:val="00A2794B"/>
    <w:rsid w:val="00A50AD2"/>
    <w:rsid w:val="00A6581A"/>
    <w:rsid w:val="00A93145"/>
    <w:rsid w:val="00AF6108"/>
    <w:rsid w:val="00B17B7D"/>
    <w:rsid w:val="00B17F96"/>
    <w:rsid w:val="00B26CE9"/>
    <w:rsid w:val="00B32119"/>
    <w:rsid w:val="00B338F1"/>
    <w:rsid w:val="00B33997"/>
    <w:rsid w:val="00B50B8E"/>
    <w:rsid w:val="00B53EE0"/>
    <w:rsid w:val="00B54CD2"/>
    <w:rsid w:val="00B62B7D"/>
    <w:rsid w:val="00B62F15"/>
    <w:rsid w:val="00B83D0B"/>
    <w:rsid w:val="00C01FCB"/>
    <w:rsid w:val="00C05688"/>
    <w:rsid w:val="00C15C35"/>
    <w:rsid w:val="00C24D51"/>
    <w:rsid w:val="00C35227"/>
    <w:rsid w:val="00C43415"/>
    <w:rsid w:val="00C75316"/>
    <w:rsid w:val="00C95182"/>
    <w:rsid w:val="00CE10E0"/>
    <w:rsid w:val="00CE1A31"/>
    <w:rsid w:val="00CE67C2"/>
    <w:rsid w:val="00D0776F"/>
    <w:rsid w:val="00D341AA"/>
    <w:rsid w:val="00D34C19"/>
    <w:rsid w:val="00D63DF1"/>
    <w:rsid w:val="00D743B3"/>
    <w:rsid w:val="00D765D8"/>
    <w:rsid w:val="00D92042"/>
    <w:rsid w:val="00D96A40"/>
    <w:rsid w:val="00DA5007"/>
    <w:rsid w:val="00E049CD"/>
    <w:rsid w:val="00E4467A"/>
    <w:rsid w:val="00E476F4"/>
    <w:rsid w:val="00E546D8"/>
    <w:rsid w:val="00E60864"/>
    <w:rsid w:val="00E969A4"/>
    <w:rsid w:val="00EB3B27"/>
    <w:rsid w:val="00EE1388"/>
    <w:rsid w:val="00F06743"/>
    <w:rsid w:val="00F11405"/>
    <w:rsid w:val="00F24B21"/>
    <w:rsid w:val="00F44CE2"/>
    <w:rsid w:val="00F508D5"/>
    <w:rsid w:val="00F553E0"/>
    <w:rsid w:val="00F57D96"/>
    <w:rsid w:val="00F72696"/>
    <w:rsid w:val="00F74FC8"/>
    <w:rsid w:val="00FE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62204-404D-4F12-86DF-961D7B88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C75C8"/>
    <w:rPr>
      <w:color w:val="0563C1" w:themeColor="hyperlink"/>
      <w:u w:val="single"/>
    </w:rPr>
  </w:style>
  <w:style w:type="paragraph" w:styleId="ListParagraph">
    <w:name w:val="List Paragraph"/>
    <w:basedOn w:val="Normal"/>
    <w:uiPriority w:val="34"/>
    <w:qFormat/>
    <w:rsid w:val="005C75C8"/>
    <w:pPr>
      <w:ind w:left="720"/>
      <w:contextualSpacing/>
    </w:pPr>
  </w:style>
  <w:style w:type="paragraph" w:styleId="NoSpacing">
    <w:name w:val="No Spacing"/>
    <w:uiPriority w:val="1"/>
    <w:qFormat/>
    <w:rsid w:val="001055C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Trautmann</dc:creator>
  <cp:keywords/>
  <cp:lastModifiedBy>anetas</cp:lastModifiedBy>
  <cp:revision>32</cp:revision>
  <dcterms:created xsi:type="dcterms:W3CDTF">2019-04-08T22:13:00Z</dcterms:created>
  <dcterms:modified xsi:type="dcterms:W3CDTF">2019-04-08T23:47:00Z</dcterms:modified>
</cp:coreProperties>
</file>